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0F" w:rsidRDefault="0020610F" w:rsidP="0020610F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3228975" cy="26670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10F" w:rsidRDefault="0020610F" w:rsidP="0020610F"/>
    <w:p w:rsidR="0020610F" w:rsidRDefault="0020610F" w:rsidP="00206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FF"/>
          <w:sz w:val="56"/>
          <w:szCs w:val="56"/>
        </w:rPr>
        <w:t>RELAZIONE TECNICA PER</w:t>
      </w:r>
    </w:p>
    <w:p w:rsidR="0020610F" w:rsidRDefault="0020610F" w:rsidP="00206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FF"/>
          <w:sz w:val="56"/>
          <w:szCs w:val="56"/>
        </w:rPr>
        <w:t>L’APPROVAZIONE DELLE</w:t>
      </w:r>
    </w:p>
    <w:p w:rsidR="0020610F" w:rsidRDefault="0020610F" w:rsidP="00206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FF"/>
          <w:sz w:val="56"/>
          <w:szCs w:val="56"/>
        </w:rPr>
        <w:t>TARIFFE SUL TRIBUTO</w:t>
      </w:r>
    </w:p>
    <w:p w:rsidR="0020610F" w:rsidRDefault="0020610F" w:rsidP="00206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FF"/>
          <w:sz w:val="56"/>
          <w:szCs w:val="56"/>
        </w:rPr>
        <w:t xml:space="preserve">COMUNALE SUI RIFIUTI </w:t>
      </w:r>
    </w:p>
    <w:p w:rsidR="002A385D" w:rsidRDefault="0020610F" w:rsidP="0020610F">
      <w:pPr>
        <w:jc w:val="center"/>
        <w:rPr>
          <w:rFonts w:ascii="Times New Roman" w:hAnsi="Times New Roman" w:cs="Times New Roman"/>
          <w:b/>
          <w:bCs/>
          <w:color w:val="0000FF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FF"/>
          <w:sz w:val="56"/>
          <w:szCs w:val="56"/>
        </w:rPr>
        <w:t>(TARI)</w:t>
      </w:r>
    </w:p>
    <w:p w:rsidR="0020610F" w:rsidRDefault="0020610F" w:rsidP="0020610F">
      <w:pPr>
        <w:jc w:val="center"/>
        <w:rPr>
          <w:rFonts w:ascii="Times New Roman" w:hAnsi="Times New Roman" w:cs="Times New Roman"/>
          <w:b/>
          <w:bCs/>
          <w:color w:val="0000FF"/>
          <w:sz w:val="56"/>
          <w:szCs w:val="56"/>
        </w:rPr>
      </w:pPr>
    </w:p>
    <w:p w:rsidR="0020610F" w:rsidRDefault="0020610F" w:rsidP="0020610F">
      <w:pPr>
        <w:jc w:val="center"/>
        <w:rPr>
          <w:rFonts w:ascii="Times New Roman" w:hAnsi="Times New Roman" w:cs="Times New Roman"/>
          <w:b/>
          <w:bCs/>
          <w:color w:val="0000FF"/>
          <w:sz w:val="56"/>
          <w:szCs w:val="56"/>
        </w:rPr>
      </w:pPr>
    </w:p>
    <w:p w:rsidR="0020610F" w:rsidRDefault="0020610F" w:rsidP="0020610F">
      <w:pPr>
        <w:jc w:val="center"/>
        <w:rPr>
          <w:rFonts w:ascii="Times New Roman" w:hAnsi="Times New Roman" w:cs="Times New Roman"/>
          <w:b/>
          <w:bCs/>
          <w:color w:val="0000FF"/>
          <w:sz w:val="56"/>
          <w:szCs w:val="56"/>
        </w:rPr>
      </w:pPr>
    </w:p>
    <w:p w:rsidR="0020610F" w:rsidRDefault="0020610F" w:rsidP="002061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Approvato con deliberazione del Consiglio Comunale n.  del </w:t>
      </w:r>
    </w:p>
    <w:p w:rsidR="0020610F" w:rsidRDefault="0020610F" w:rsidP="002061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10F" w:rsidRDefault="0020610F" w:rsidP="002061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10F" w:rsidRDefault="0020610F" w:rsidP="002061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10F" w:rsidRDefault="0020610F" w:rsidP="002061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10F" w:rsidRDefault="0020610F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610F" w:rsidRDefault="0020610F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610F" w:rsidRPr="0020610F" w:rsidRDefault="005B72D4" w:rsidP="0020610F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color w:val="000000"/>
          <w:sz w:val="40"/>
          <w:szCs w:val="40"/>
        </w:rPr>
      </w:pPr>
      <w:r>
        <w:rPr>
          <w:rFonts w:ascii="Courier" w:hAnsi="Courier" w:cs="Courier"/>
          <w:b/>
          <w:bCs/>
          <w:color w:val="000000"/>
          <w:sz w:val="40"/>
          <w:szCs w:val="40"/>
        </w:rPr>
        <w:t>I</w:t>
      </w:r>
      <w:r w:rsidR="0020610F" w:rsidRPr="0020610F">
        <w:rPr>
          <w:rFonts w:ascii="Courier" w:hAnsi="Courier" w:cs="Courier"/>
          <w:b/>
          <w:bCs/>
          <w:color w:val="000000"/>
          <w:sz w:val="40"/>
          <w:szCs w:val="40"/>
        </w:rPr>
        <w:t>NTRODUZIONE</w:t>
      </w:r>
    </w:p>
    <w:p w:rsidR="0020610F" w:rsidRDefault="0020610F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Dall’anno 2014 è istituito il Tributo co</w:t>
      </w:r>
      <w:r w:rsidR="004A4092">
        <w:rPr>
          <w:rFonts w:ascii="Times New Roman" w:hAnsi="Times New Roman" w:cs="Times New Roman"/>
          <w:color w:val="000000"/>
          <w:sz w:val="24"/>
          <w:szCs w:val="24"/>
        </w:rPr>
        <w:t>munale sui rifiut</w:t>
      </w:r>
      <w:r w:rsidR="0006048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A4092">
        <w:rPr>
          <w:rFonts w:ascii="Times New Roman" w:hAnsi="Times New Roman" w:cs="Times New Roman"/>
          <w:color w:val="000000"/>
          <w:sz w:val="24"/>
          <w:szCs w:val="24"/>
        </w:rPr>
        <w:t xml:space="preserve"> (c.d. TARI</w:t>
      </w:r>
      <w:r>
        <w:rPr>
          <w:rFonts w:ascii="Times New Roman" w:hAnsi="Times New Roman" w:cs="Times New Roman"/>
          <w:color w:val="000000"/>
          <w:sz w:val="24"/>
          <w:szCs w:val="24"/>
        </w:rPr>
        <w:t>), in sostituzione</w:t>
      </w:r>
      <w:r w:rsidR="000604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della TARSU (Tassa per lo smaltimento dei rifiuti solidi urbani) e degli altri prelievi in materia di</w:t>
      </w:r>
      <w:r w:rsidR="004A40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0D3">
        <w:rPr>
          <w:rFonts w:ascii="Times New Roman" w:hAnsi="Times New Roman" w:cs="Times New Roman"/>
          <w:color w:val="000000"/>
          <w:sz w:val="24"/>
          <w:szCs w:val="24"/>
        </w:rPr>
        <w:t>rifiuti (TIA1,</w:t>
      </w:r>
      <w:r>
        <w:rPr>
          <w:rFonts w:ascii="Times New Roman" w:hAnsi="Times New Roman" w:cs="Times New Roman"/>
          <w:color w:val="000000"/>
          <w:sz w:val="24"/>
          <w:szCs w:val="24"/>
        </w:rPr>
        <w:t>TIA2</w:t>
      </w:r>
      <w:r w:rsidR="003B20D3">
        <w:rPr>
          <w:rFonts w:ascii="Times New Roman" w:hAnsi="Times New Roman" w:cs="Times New Roman"/>
          <w:color w:val="000000"/>
          <w:sz w:val="24"/>
          <w:szCs w:val="24"/>
        </w:rPr>
        <w:t xml:space="preserve"> e TARES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0610F" w:rsidRPr="003B20D3" w:rsidRDefault="0020610F" w:rsidP="004A4092">
      <w:pPr>
        <w:tabs>
          <w:tab w:val="left" w:pos="0"/>
        </w:tabs>
        <w:spacing w:after="60" w:line="240" w:lineRule="auto"/>
        <w:jc w:val="both"/>
        <w:rPr>
          <w:sz w:val="23"/>
          <w:szCs w:val="23"/>
        </w:rPr>
      </w:pPr>
      <w:r w:rsidRPr="004A4092">
        <w:rPr>
          <w:rFonts w:ascii="Times New Roman" w:hAnsi="Times New Roman" w:cs="Times New Roman"/>
          <w:sz w:val="24"/>
          <w:szCs w:val="24"/>
        </w:rPr>
        <w:t xml:space="preserve">La disciplina del nuovo tributo contenuta </w:t>
      </w:r>
      <w:r w:rsidR="003B20D3" w:rsidRPr="004A4092">
        <w:rPr>
          <w:sz w:val="23"/>
          <w:szCs w:val="23"/>
        </w:rPr>
        <w:t xml:space="preserve">Nell’art. 1, comma 639, della </w:t>
      </w:r>
      <w:hyperlink r:id="rId9" w:tgtFrame="BT" w:history="1">
        <w:r w:rsidR="003B20D3" w:rsidRPr="004A4092">
          <w:rPr>
            <w:rStyle w:val="Collegamentoipertestuale"/>
            <w:color w:val="auto"/>
            <w:sz w:val="23"/>
            <w:szCs w:val="23"/>
            <w:u w:val="none"/>
          </w:rPr>
          <w:t>Legge 27 dicembre 2013, n. 147</w:t>
        </w:r>
      </w:hyperlink>
      <w:r w:rsidR="003B20D3" w:rsidRPr="004A4092">
        <w:rPr>
          <w:sz w:val="23"/>
          <w:szCs w:val="23"/>
        </w:rPr>
        <w:t>.</w:t>
      </w:r>
      <w:r w:rsidRPr="004A4092">
        <w:rPr>
          <w:rFonts w:ascii="Times New Roman" w:hAnsi="Times New Roman" w:cs="Times New Roman"/>
          <w:sz w:val="24"/>
          <w:szCs w:val="24"/>
        </w:rPr>
        <w:t>e</w:t>
      </w:r>
      <w:r w:rsidRPr="003B20D3">
        <w:rPr>
          <w:rFonts w:ascii="Times New Roman" w:hAnsi="Times New Roman" w:cs="Times New Roman"/>
          <w:color w:val="000000"/>
          <w:sz w:val="24"/>
          <w:szCs w:val="24"/>
        </w:rPr>
        <w:t xml:space="preserve"> nel Decreto</w:t>
      </w:r>
      <w:r w:rsidR="000604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20D3">
        <w:rPr>
          <w:rFonts w:ascii="Times New Roman" w:hAnsi="Times New Roman" w:cs="Times New Roman"/>
          <w:color w:val="000000"/>
          <w:sz w:val="24"/>
          <w:szCs w:val="24"/>
        </w:rPr>
        <w:t>del Presidente della Repubblica n. 158/1999, originariamente adottato ai fini dell’applicazione della</w:t>
      </w:r>
      <w:r w:rsidR="004A40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20D3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B20D3">
        <w:rPr>
          <w:rFonts w:ascii="Times New Roman" w:hAnsi="Times New Roman" w:cs="Times New Roman"/>
          <w:color w:val="000000"/>
          <w:sz w:val="24"/>
          <w:szCs w:val="24"/>
        </w:rPr>
        <w:t>IA1 e ora richiamato dalla</w:t>
      </w:r>
      <w:r w:rsidRPr="003B20D3">
        <w:rPr>
          <w:rFonts w:ascii="Times New Roman" w:hAnsi="Times New Roman" w:cs="Times New Roman"/>
          <w:color w:val="000000"/>
          <w:sz w:val="24"/>
          <w:szCs w:val="24"/>
        </w:rPr>
        <w:t xml:space="preserve"> legge ai fini dell’applicazione anche del nuovo tributo, nonché</w:t>
      </w:r>
      <w:r w:rsidR="000604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20D3">
        <w:rPr>
          <w:rFonts w:ascii="Times New Roman" w:hAnsi="Times New Roman" w:cs="Times New Roman"/>
          <w:color w:val="000000"/>
          <w:sz w:val="24"/>
          <w:szCs w:val="24"/>
        </w:rPr>
        <w:t>nei regolamenti adottati dai singoli comuni.</w:t>
      </w: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comuni devono annualmente determinare l’importo del tributo, sulla base delle disposizioni e</w:t>
      </w:r>
      <w:r w:rsidR="004A40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secondo i criteri di seguito illustrati.</w:t>
      </w:r>
    </w:p>
    <w:p w:rsidR="004A4092" w:rsidRDefault="004A4092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610F" w:rsidRPr="004A4092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4A4092">
        <w:rPr>
          <w:rFonts w:ascii="Arial" w:hAnsi="Arial" w:cs="Arial"/>
          <w:b/>
          <w:bCs/>
          <w:iCs/>
          <w:color w:val="000000"/>
          <w:sz w:val="24"/>
          <w:szCs w:val="24"/>
        </w:rPr>
        <w:t>Caratteristiche generali del nuovo tributo</w:t>
      </w: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via preliminare appare opportuno evidenziare le caratteristiche essenziali della nuova entrata.</w:t>
      </w:r>
    </w:p>
    <w:p w:rsidR="0020610F" w:rsidRDefault="004A4092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tributo e’destinato</w:t>
      </w:r>
      <w:r w:rsidR="0020610F">
        <w:rPr>
          <w:rFonts w:ascii="Times New Roman" w:hAnsi="Times New Roman" w:cs="Times New Roman"/>
          <w:color w:val="000000"/>
          <w:sz w:val="24"/>
          <w:szCs w:val="24"/>
        </w:rPr>
        <w:t xml:space="preserve"> alla copertura dei costi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10F">
        <w:rPr>
          <w:rFonts w:ascii="Times New Roman" w:hAnsi="Times New Roman" w:cs="Times New Roman"/>
          <w:color w:val="000000"/>
          <w:sz w:val="24"/>
          <w:szCs w:val="24"/>
        </w:rPr>
        <w:t>relativi al servizio di gestione dei rifiuti urbani e dei rifiuti speciali assimilati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10F">
        <w:rPr>
          <w:rFonts w:ascii="Times New Roman" w:hAnsi="Times New Roman" w:cs="Times New Roman"/>
          <w:color w:val="000000"/>
          <w:sz w:val="24"/>
          <w:szCs w:val="24"/>
        </w:rPr>
        <w:t>(comprendente lo spazzamento, la raccolta, il trasporto, il recupero, il trattamento e 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smaltimento dei rifiuti)</w:t>
      </w:r>
    </w:p>
    <w:p w:rsidR="004A4092" w:rsidRDefault="004A4092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610F" w:rsidRPr="004A4092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4A409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Principali differenze con la TARSU</w:t>
      </w: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Anzitutto, è previsto l’obbligo della copertura integrale dei costi relativi alla gestione dei rifiuti,</w:t>
      </w: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Inoltre, sussiste l’obbligo di coprire costi quali quelli relativi all’amministrazione, alla riscossione</w:t>
      </w:r>
      <w:r w:rsidR="004A40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ed al contezioso (c.d. CARC) che non venivano considerati in regime di TARSU. Il nuovo tributo</w:t>
      </w:r>
      <w:r w:rsidR="004A40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risulta perciò necessariamente più oneroso per i contribuenti rispetto al precedente prelievo.</w:t>
      </w: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Nella determinazione della tariffa del nuovo tributo, in ossequio al principio comunitario “chi</w:t>
      </w:r>
      <w:r w:rsidR="004A40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produce rifiuti paga”, la quantità di rifiuti prodotta dalla singola utenza, sia pure desumibile anche</w:t>
      </w:r>
      <w:r w:rsidR="004A40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attraverso metodi presuntivi, assume maggiore rilievo (ad es., diversamente da quanto avveniva con</w:t>
      </w: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tassa, per le abitazioni si tiene conto del numero di coloro che convivono nella stessa).</w:t>
      </w: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È previsto che il nuovo tributo debba essere versato esclusivamente al Comune, che deve pertanto</w:t>
      </w: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procedere obbligatoriamente in proprio alla riscossione volontaria dello stesso.</w:t>
      </w:r>
    </w:p>
    <w:p w:rsidR="004A4092" w:rsidRDefault="004A4092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610F" w:rsidRPr="004A4092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4A409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Come si calcola</w:t>
      </w: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componente rifiuti del tributo è calcolata moltiplicando la relativa tariffa per la superficie dei</w:t>
      </w: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locali e delle aree assoggettate allo stesso.</w:t>
      </w: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Fino a quando non sarà realizzato l’allineamento tra la banca dati catastale e toponomastica, la</w:t>
      </w:r>
      <w:r w:rsidR="004A40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superficie assoggettabile al tributo è per tutti i locali e le aree quella calpestabile, misurata per i</w:t>
      </w:r>
      <w:r w:rsidR="004A40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locali sul filo interno dei muri, al netto di eventuali pilastri e considerando le scale interne solo per</w:t>
      </w:r>
      <w:r w:rsidR="004A40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 proiezione orizzontale, e per le aree sul perimetro interno delle stesse, al netto di eventuali</w:t>
      </w:r>
      <w:r w:rsidR="004A40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costruzioni che vi insistono. Non si tiene conto di quella parte di superficie sulla quale si producono</w:t>
      </w: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esclusivamente rifiuti speciali non assimilati agli urbani.</w:t>
      </w: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 le utenze domestiche una parte della componente rifiuti del tributo è calcolata anche sulla base</w:t>
      </w:r>
      <w:r w:rsidR="004A40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del numero dei componenti del nucleo familiare coabitanti: per le utenze non domestiche la</w:t>
      </w:r>
      <w:r w:rsidR="004A40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componente rifiuti è calcolata solo moltiplicando la tariffa per la superficie.</w:t>
      </w: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comuni, sulla base dei criteri indicati, deliberano annualmente gli importi relativi alla quota fissa</w:t>
      </w: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ed alla quota variabile della tariffa della componente rifiuti, distinti per le utenze domestiche e le</w:t>
      </w:r>
      <w:r w:rsidR="004A40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diverse categorie delle utenze non domestiche, e stabiliscono l’eventuale aumento della</w:t>
      </w:r>
      <w:r w:rsidR="004A40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maggiorazione della tariffa nonché le eventuali riduzioni.</w:t>
      </w:r>
    </w:p>
    <w:p w:rsidR="0006048B" w:rsidRDefault="0006048B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CC06D6" w:rsidRDefault="00CC06D6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CC06D6" w:rsidRDefault="00CC06D6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20610F" w:rsidRPr="004A4092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4A409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lastRenderedPageBreak/>
        <w:t>Quanto si paga</w:t>
      </w:r>
    </w:p>
    <w:p w:rsidR="0006048B" w:rsidRDefault="0006048B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Salvo quanto più avanti precisato in merito alle modalità di quantificazione applicabili nel presente</w:t>
      </w: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anno, il tributo, dovuto per anno solare, al quale corrisponde un’autonoma obbligazione tributaria, è</w:t>
      </w: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determinato applicando le tariffe deliberate dal singolo comune per le diverse utenze,</w:t>
      </w:r>
      <w:r w:rsidR="004A40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tenendo conto</w:t>
      </w: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delle agevolazioni previste dalla legge o dal regolamento comunale.</w:t>
      </w: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 le utenze domestiche la quota fissa della tariffa è espressa in un importo al metro quadrato da</w:t>
      </w:r>
      <w:r w:rsidR="004A40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moltiplicare per la superficie assoggettabile al tributo, mentre la quota variabile è espressa in un</w:t>
      </w:r>
      <w:r w:rsidR="004A40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unico importo annuale, diverso in relazione al numero dei componenti del nucleo familiare; per le</w:t>
      </w:r>
      <w:r w:rsidR="004A40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utenze non domestiche entrambe le quote della tariffa sono espresse in un importo al metro</w:t>
      </w:r>
      <w:r w:rsidR="004A40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quadrato da moltiplicare per la superficie assoggettabile al tributo.</w:t>
      </w: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Qualora i locali e le aree da assoggettare a tributo non siano ricompresi in una delle categorie delle</w:t>
      </w: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utenze non domestiche, il tributo è calcolato applicando la tariffa della categoria recante voci d’uso</w:t>
      </w: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assimilabili per attitudine quantitativa e qualitativa a produrre rifiuti.</w:t>
      </w:r>
    </w:p>
    <w:p w:rsidR="0020610F" w:rsidRDefault="004A4092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tributo</w:t>
      </w:r>
      <w:r w:rsidR="0020610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\</w:t>
      </w:r>
      <w:r w:rsidR="0020610F">
        <w:rPr>
          <w:rFonts w:ascii="Times New Roman" w:hAnsi="Times New Roman" w:cs="Times New Roman"/>
          <w:color w:val="000000"/>
          <w:sz w:val="24"/>
          <w:szCs w:val="24"/>
        </w:rPr>
        <w:t xml:space="preserve"> è dovuto in proporzione al periodo dell’anno,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10F">
        <w:rPr>
          <w:rFonts w:ascii="Times New Roman" w:hAnsi="Times New Roman" w:cs="Times New Roman"/>
          <w:color w:val="000000"/>
          <w:sz w:val="24"/>
          <w:szCs w:val="24"/>
        </w:rPr>
        <w:t>specificato da ciascun comune nel proprio regolamento, nel quale si sono protratti il possesso,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10F">
        <w:rPr>
          <w:rFonts w:ascii="Times New Roman" w:hAnsi="Times New Roman" w:cs="Times New Roman"/>
          <w:color w:val="000000"/>
          <w:sz w:val="24"/>
          <w:szCs w:val="24"/>
        </w:rPr>
        <w:t>l’occupazione o la detenzione. Nel caso di multiproprietà il tributo dovuto dagli utenti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10F">
        <w:rPr>
          <w:rFonts w:ascii="Times New Roman" w:hAnsi="Times New Roman" w:cs="Times New Roman"/>
          <w:color w:val="000000"/>
          <w:sz w:val="24"/>
          <w:szCs w:val="24"/>
        </w:rPr>
        <w:t>proporzione al periodo di occupazione o di disponibilità esclusiva.</w:t>
      </w:r>
    </w:p>
    <w:p w:rsidR="0020610F" w:rsidRPr="005B72D4" w:rsidRDefault="0020610F" w:rsidP="004A4092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color w:val="000000"/>
          <w:sz w:val="40"/>
          <w:szCs w:val="40"/>
        </w:rPr>
      </w:pPr>
      <w:r w:rsidRPr="005B72D4">
        <w:rPr>
          <w:rFonts w:ascii="Courier" w:hAnsi="Courier" w:cs="Courier"/>
          <w:b/>
          <w:bCs/>
          <w:color w:val="000000"/>
          <w:sz w:val="40"/>
          <w:szCs w:val="40"/>
        </w:rPr>
        <w:t>DETERMINAZIONE DELLA TARIFFA</w:t>
      </w: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tariffa della componente rifiuti è commisurata alle quantità e qualità medie ordinarie di rifiuti</w:t>
      </w:r>
      <w:r w:rsidR="000604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prodotti per unità di superficie, in relazione agli usi ed alla tipologia di attività svolta, sulla base dei</w:t>
      </w:r>
      <w:r w:rsidR="000604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criteri stabiliti dal D.P.R. n. 158/1999. Il D.P.R. n. 158/1999 individua anche i costi del servizio di</w:t>
      </w:r>
      <w:r w:rsidR="000604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gestione dei rifiuti da coprire. I costi sono annualmente definiti nel</w:t>
      </w:r>
      <w:r w:rsidR="004A4092">
        <w:rPr>
          <w:rFonts w:ascii="Times New Roman" w:hAnsi="Times New Roman" w:cs="Times New Roman"/>
          <w:color w:val="000000"/>
          <w:sz w:val="24"/>
          <w:szCs w:val="24"/>
        </w:rPr>
        <w:t xml:space="preserve"> piano finanziario del servizio.</w:t>
      </w: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 tali costi occorre sottrarre i il costo relativo alla gestione dei rifiuti delle istituzioni scolastiche</w:t>
      </w:r>
      <w:r w:rsidR="000604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statali (per le quali il tributo è corrisposto direttamente dal Ministero dell’istruzione sulla base di</w:t>
      </w:r>
      <w:r w:rsidR="000604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appositi criteri stabiliti dalla legge).</w:t>
      </w:r>
    </w:p>
    <w:p w:rsidR="0020610F" w:rsidRPr="00207322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 la determinazione della tariffa occorre che i costi distinti in parte fissa, comprendente le</w:t>
      </w:r>
      <w:r w:rsidR="000604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componenti essenziali del costo del servizio di gestione dei rifiuti (riferite in particolare agli</w:t>
      </w:r>
      <w:r w:rsidR="000604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investimenti per le opere ed ai relativi ammortamenti), e parte variabile, rapportata ai costi di</w:t>
      </w:r>
      <w:r w:rsidR="000604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gestione siano ripartiti dal singolo comune tra l’insieme delle utenze domestiche e l’insieme delle</w:t>
      </w:r>
      <w:r w:rsidR="000604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utenze non domestiche,</w:t>
      </w: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tariffa è composta da due quote: la quota fissa, determinata in relazione alla parte fissa dei costi,</w:t>
      </w:r>
      <w:r w:rsidR="000604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 la quota variabile, rapportata alle quantità di rifiuti conferiti, al servizio fornito e alla parte</w:t>
      </w:r>
      <w:r w:rsidR="000604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variabile dei costi medesimi.</w:t>
      </w: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 due quote della tariffa sono calcolate utilizzando le formule indicate nel D.P.R. n. 158/1999, che</w:t>
      </w:r>
      <w:r w:rsidR="000604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tengono conto dei costi a metro quadrato e a chilogrammo attribuibili alle diverse utenze, della</w:t>
      </w:r>
      <w:r w:rsidR="000604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superficie delle singole utenze e della potenziale quantità di rifiuti prodotti riferibili alle stesse, e</w:t>
      </w:r>
      <w:r w:rsidR="000604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che prevedono l’applicazione di specifici coefficienti moltiplicatori, stabiliti dal comune entro i</w:t>
      </w:r>
      <w:r w:rsidR="000604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limiti fissati dalla legge.</w:t>
      </w:r>
    </w:p>
    <w:p w:rsidR="004A4092" w:rsidRDefault="004A4092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610F" w:rsidRPr="00207322" w:rsidRDefault="0006048B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b/>
          <w:bCs/>
          <w:color w:val="000000"/>
          <w:sz w:val="40"/>
          <w:szCs w:val="40"/>
        </w:rPr>
      </w:pPr>
      <w:r>
        <w:rPr>
          <w:rFonts w:ascii="Courier" w:hAnsi="Courier" w:cs="Courier"/>
          <w:b/>
          <w:bCs/>
          <w:color w:val="000000"/>
          <w:sz w:val="40"/>
          <w:szCs w:val="40"/>
        </w:rPr>
        <w:t>IPOTESI TARIFFARIA</w:t>
      </w:r>
      <w:r w:rsidR="0020610F" w:rsidRPr="00207322">
        <w:rPr>
          <w:rFonts w:ascii="Courier" w:hAnsi="Courier" w:cs="Courier"/>
          <w:b/>
          <w:bCs/>
          <w:color w:val="000000"/>
          <w:sz w:val="40"/>
          <w:szCs w:val="40"/>
        </w:rPr>
        <w:t xml:space="preserve"> PER L’ANNO</w:t>
      </w:r>
      <w:r w:rsidR="008760B4">
        <w:rPr>
          <w:rFonts w:ascii="Courier" w:hAnsi="Courier" w:cs="Courier"/>
          <w:b/>
          <w:bCs/>
          <w:color w:val="000000"/>
          <w:sz w:val="40"/>
          <w:szCs w:val="40"/>
        </w:rPr>
        <w:t xml:space="preserve"> 2016</w:t>
      </w: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Sulla base di quanto disposto dalla succitata normativa, l’Ufficio Tributi ha formulato un’ipotesi di</w:t>
      </w: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quantificazione delle tariffe del nuovo tributo da applicare nell’</w:t>
      </w:r>
      <w:r w:rsidR="008760B4">
        <w:rPr>
          <w:rFonts w:ascii="Times New Roman" w:hAnsi="Times New Roman" w:cs="Times New Roman"/>
          <w:color w:val="000000"/>
          <w:sz w:val="24"/>
          <w:szCs w:val="24"/>
        </w:rPr>
        <w:t>anno 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alle utenze domestiche e</w:t>
      </w: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quelle non domestiche.</w:t>
      </w:r>
    </w:p>
    <w:p w:rsidR="0020610F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particolare, le tariffe sono state determinate in applicazione degli articoli 5 e 6 del D.P.R. n.</w:t>
      </w:r>
      <w:r w:rsidR="00FD5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158/1999 e delle formule indicate nell’Allegato 1 di tale decreto, sulla base dei dati forniti dalla</w:t>
      </w:r>
      <w:r w:rsidR="00FD5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società appaltatrice del servizio di raccolta e spazzamento in ordine ai costi, comprendenti anche i</w:t>
      </w:r>
      <w:r w:rsidR="00FD5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costi di trattamento e smaltimento riferibili alle diverse discariche, ed alla quantità complessiva di</w:t>
      </w:r>
      <w:r w:rsidR="00FD5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rifiuti prodotti dalle utenze del territorio, con determinazione della quantità di rifiuti</w:t>
      </w:r>
      <w:r w:rsidR="00FD5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riferibile alle utenze non domestiche in base ai coefficienti di produttività previsti (non essendo al</w:t>
      </w:r>
      <w:r w:rsidR="00FD5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momento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disponibile un sistema di rilevazione puntuale).</w:t>
      </w:r>
      <w:r w:rsidR="00207322" w:rsidRPr="00207322">
        <w:t xml:space="preserve"> </w:t>
      </w:r>
      <w:r w:rsidR="00207322">
        <w:t xml:space="preserve">Avvalendosi, inoltre, </w:t>
      </w:r>
      <w:r w:rsidR="00207322" w:rsidRPr="00EC6E23">
        <w:t xml:space="preserve"> della facoltà offerta dall’ultimo periodo del comma 652, dell’art. 1, </w:t>
      </w:r>
      <w:r w:rsidR="00207322" w:rsidRPr="005B72D4">
        <w:t xml:space="preserve">della </w:t>
      </w:r>
      <w:hyperlink r:id="rId10" w:tgtFrame="BT" w:history="1">
        <w:r w:rsidR="00207322" w:rsidRPr="005B72D4">
          <w:rPr>
            <w:rStyle w:val="Collegamentoipertestuale"/>
            <w:color w:val="auto"/>
            <w:u w:val="none"/>
          </w:rPr>
          <w:t>Legge 147/2013</w:t>
        </w:r>
      </w:hyperlink>
      <w:r w:rsidR="00207322" w:rsidRPr="00EC6E23">
        <w:t xml:space="preserve">, in virtù della quale il Comune può prevedere per </w:t>
      </w:r>
      <w:r w:rsidR="00316B64">
        <w:t>gli anni 2014,2015 e 2016</w:t>
      </w:r>
      <w:r w:rsidR="00207322" w:rsidRPr="00EC6E23">
        <w:t xml:space="preserve"> l’adozione dei coefficienti di cui all’allegato 1, tabelle 2, 3a, 3b, 4a e 4b, del regolamento di cui al decreto del Presidente della Repubblica n. 158 del 1999, inferiori ai minimi o superiori ai massimi ivi indicati del 50 per cento e può altresì non considerare i coefficienti di cui alle tabelle </w:t>
      </w:r>
      <w:r w:rsidR="00FD5ACB">
        <w:t>1a e 1b del medesimo allegato 1.</w:t>
      </w:r>
    </w:p>
    <w:p w:rsidR="0020610F" w:rsidRPr="008760B4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8760B4">
        <w:rPr>
          <w:rFonts w:cs="Times New Roman"/>
          <w:color w:val="000000"/>
        </w:rPr>
        <w:t>Infine, le ipotesi tariffarie sono state elaborate sulla base dei dati acquisiti dall’anagrafe comunale</w:t>
      </w:r>
    </w:p>
    <w:p w:rsidR="0020610F" w:rsidRPr="008760B4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8760B4">
        <w:rPr>
          <w:rFonts w:cs="Times New Roman"/>
          <w:color w:val="000000"/>
        </w:rPr>
        <w:t xml:space="preserve">(numero dei componenti dei nuclei familiari) alla data </w:t>
      </w:r>
      <w:r w:rsidRPr="008760B4">
        <w:rPr>
          <w:rFonts w:cs="Times New Roman"/>
        </w:rPr>
        <w:t>del 1 gennaio 201</w:t>
      </w:r>
      <w:r w:rsidR="008760B4">
        <w:rPr>
          <w:rFonts w:cs="Times New Roman"/>
        </w:rPr>
        <w:t>6</w:t>
      </w:r>
      <w:r w:rsidRPr="008760B4">
        <w:rPr>
          <w:rFonts w:cs="Times New Roman"/>
          <w:color w:val="FF0000"/>
        </w:rPr>
        <w:t xml:space="preserve"> </w:t>
      </w:r>
      <w:r w:rsidRPr="008760B4">
        <w:rPr>
          <w:rFonts w:cs="Times New Roman"/>
        </w:rPr>
        <w:t>e</w:t>
      </w:r>
      <w:r w:rsidRPr="008760B4">
        <w:rPr>
          <w:rFonts w:cs="Times New Roman"/>
          <w:color w:val="000000"/>
        </w:rPr>
        <w:t xml:space="preserve"> dei dati presenti nella</w:t>
      </w:r>
    </w:p>
    <w:p w:rsidR="0020610F" w:rsidRPr="008760B4" w:rsidRDefault="0020610F" w:rsidP="005B72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FF0000"/>
        </w:rPr>
      </w:pPr>
      <w:r w:rsidRPr="008760B4">
        <w:rPr>
          <w:rFonts w:cs="Times New Roman"/>
          <w:color w:val="000000"/>
        </w:rPr>
        <w:t xml:space="preserve">banca dati tributaria (superfici, tipologie di attività, agevolazioni, ecc.) </w:t>
      </w:r>
    </w:p>
    <w:p w:rsidR="0020610F" w:rsidRPr="008760B4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8760B4">
        <w:rPr>
          <w:rFonts w:cs="Times New Roman"/>
          <w:color w:val="000000"/>
        </w:rPr>
        <w:t>Il procediment</w:t>
      </w:r>
      <w:r w:rsidR="00FD1696" w:rsidRPr="008760B4">
        <w:rPr>
          <w:rFonts w:cs="Times New Roman"/>
          <w:color w:val="000000"/>
        </w:rPr>
        <w:t>o di calcolo delle tariffe TARI</w:t>
      </w:r>
      <w:r w:rsidRPr="008760B4">
        <w:rPr>
          <w:rFonts w:cs="Times New Roman"/>
          <w:color w:val="000000"/>
        </w:rPr>
        <w:t xml:space="preserve"> si è basato sul “metodo normalizzato” di cui al</w:t>
      </w:r>
    </w:p>
    <w:p w:rsidR="0020610F" w:rsidRPr="008760B4" w:rsidRDefault="0020610F" w:rsidP="004A40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8760B4">
        <w:rPr>
          <w:rFonts w:cs="Times New Roman"/>
          <w:color w:val="000000"/>
        </w:rPr>
        <w:t>D.P.R. n. 158/1999 schematicamente riportato di seguito.</w:t>
      </w:r>
    </w:p>
    <w:p w:rsidR="005B72D4" w:rsidRDefault="005B72D4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7322" w:rsidRDefault="00722B27" w:rsidP="004A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55245</wp:posOffset>
                </wp:positionV>
                <wp:extent cx="6657975" cy="5377815"/>
                <wp:effectExtent l="9525" t="5715" r="9525" b="762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537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854" w:rsidRDefault="00E2485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6296025" cy="7639050"/>
                                  <wp:effectExtent l="19050" t="0" r="9525" b="0"/>
                                  <wp:docPr id="7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96025" cy="763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4.2pt;margin-top:4.35pt;width:524.25pt;height:4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">
                <v:textbox>
                  <w:txbxContent>
                    <w:p w:rsidR="00E24854" w:rsidRDefault="00E2485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6296025" cy="7639050"/>
                            <wp:effectExtent l="19050" t="0" r="9525" b="0"/>
                            <wp:docPr id="7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96025" cy="763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07322" w:rsidRDefault="00207322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7322" w:rsidRDefault="00207322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7322" w:rsidRDefault="00207322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7322" w:rsidRDefault="00207322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7322" w:rsidRDefault="00207322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7322" w:rsidRDefault="00207322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7D52" w:rsidRDefault="00C37D52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10F" w:rsidRDefault="0020610F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Sono state quindi utilizzate le formule di calcolo indicate dalla norma partendo dai dati di costo,</w:t>
      </w:r>
    </w:p>
    <w:p w:rsidR="0020610F" w:rsidRPr="00207322" w:rsidRDefault="0020610F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così come elaborati nel piano finanziario già approvato con </w:t>
      </w:r>
      <w:r w:rsidRPr="00207322">
        <w:rPr>
          <w:rFonts w:ascii="Times New Roman" w:hAnsi="Times New Roman" w:cs="Times New Roman"/>
          <w:color w:val="FF0000"/>
          <w:sz w:val="24"/>
          <w:szCs w:val="24"/>
        </w:rPr>
        <w:t>deliberazione di Consiglio Comunale n.</w:t>
      </w:r>
    </w:p>
    <w:p w:rsidR="0020610F" w:rsidRDefault="00207322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7322">
        <w:rPr>
          <w:rFonts w:ascii="Times New Roman" w:hAnsi="Times New Roman" w:cs="Times New Roman"/>
          <w:color w:val="FF0000"/>
          <w:sz w:val="24"/>
          <w:szCs w:val="24"/>
        </w:rPr>
        <w:t>________ del __________</w:t>
      </w:r>
      <w:r w:rsidR="0020610F" w:rsidRPr="002073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72D4">
        <w:rPr>
          <w:rFonts w:ascii="Times New Roman" w:hAnsi="Times New Roman" w:cs="Times New Roman"/>
          <w:color w:val="000000"/>
          <w:sz w:val="24"/>
          <w:szCs w:val="24"/>
        </w:rPr>
        <w:t>che di seguito si riporta:</w:t>
      </w: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722B27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106045</wp:posOffset>
                </wp:positionV>
                <wp:extent cx="6648450" cy="5863590"/>
                <wp:effectExtent l="9525" t="13335" r="9525" b="9525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86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854" w:rsidRDefault="00E24854" w:rsidP="00143D14">
                            <w:pPr>
                              <w:ind w:left="-851" w:firstLine="851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6400800" cy="5610225"/>
                                  <wp:effectExtent l="19050" t="0" r="0" b="0"/>
                                  <wp:docPr id="9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0800" cy="5610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-1.95pt;margin-top:8.35pt;width:523.5pt;height:4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">
                <v:textbox style="mso-fit-shape-to-text:t">
                  <w:txbxContent>
                    <w:p w:rsidR="00E24854" w:rsidRDefault="00E24854" w:rsidP="00143D14">
                      <w:pPr>
                        <w:ind w:left="-851" w:firstLine="851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6400800" cy="5610225"/>
                            <wp:effectExtent l="19050" t="0" r="0" b="0"/>
                            <wp:docPr id="9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0800" cy="5610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10F" w:rsidRDefault="0020610F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2D4" w:rsidRDefault="005B72D4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7D52" w:rsidRDefault="00C37D52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A4073" w:rsidRDefault="004A4073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A4073" w:rsidRDefault="004A4073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A4073" w:rsidRDefault="004A4073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A4073" w:rsidRDefault="004A4073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A4073" w:rsidRDefault="004A4073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10F" w:rsidRDefault="0020610F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criteri utilizzati nel determinare le tariffe sono stati: l’uniformarsi al dettato normativo, agevolare</w:t>
      </w:r>
    </w:p>
    <w:p w:rsidR="0020610F" w:rsidRDefault="0020610F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più possibile, nei termini di legge, le utenze domestiche mantenendo comunque un rapporto equo</w:t>
      </w:r>
    </w:p>
    <w:p w:rsidR="0020610F" w:rsidRDefault="0020610F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suddivisione dei costi. In particolare:</w:t>
      </w:r>
    </w:p>
    <w:p w:rsidR="0020610F" w:rsidRPr="00C37D52" w:rsidRDefault="00C37D52" w:rsidP="0020610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20610F" w:rsidRPr="00C37D52">
        <w:rPr>
          <w:rFonts w:ascii="Times New Roman" w:hAnsi="Times New Roman" w:cs="Times New Roman"/>
          <w:color w:val="000000"/>
          <w:sz w:val="24"/>
          <w:szCs w:val="24"/>
        </w:rPr>
        <w:t>a suddivisione tra parte fissa e parte variabile dei costi è stata fatta in base alle formule di calcol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20610F" w:rsidRPr="00C37D52">
        <w:rPr>
          <w:rFonts w:ascii="Times New Roman" w:hAnsi="Times New Roman" w:cs="Times New Roman"/>
          <w:color w:val="000000"/>
          <w:sz w:val="24"/>
          <w:szCs w:val="24"/>
        </w:rPr>
        <w:t>del D.P.R. n. 158/1999 citato.</w:t>
      </w:r>
    </w:p>
    <w:p w:rsidR="00672495" w:rsidRDefault="0067249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2495" w:rsidRDefault="0067249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2495" w:rsidRDefault="0067249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2495" w:rsidRDefault="0067249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2495" w:rsidRDefault="0067249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7D52" w:rsidRDefault="00C37D52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7D52" w:rsidRDefault="00C37D52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7D52" w:rsidRDefault="00C37D52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7D52" w:rsidRDefault="00722B27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163195</wp:posOffset>
                </wp:positionV>
                <wp:extent cx="6362700" cy="3025140"/>
                <wp:effectExtent l="9525" t="13335" r="9525" b="9525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02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854" w:rsidRDefault="00E2485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6115050" cy="2771775"/>
                                  <wp:effectExtent l="19050" t="0" r="0" b="0"/>
                                  <wp:docPr id="10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15050" cy="2771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5.55pt;margin-top:12.85pt;width:501pt;height:2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zALQIAAFk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">
                <v:textbox style="mso-fit-shape-to-text:t">
                  <w:txbxContent>
                    <w:p w:rsidR="00E24854" w:rsidRDefault="00E2485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6115050" cy="2771775"/>
                            <wp:effectExtent l="19050" t="0" r="0" b="0"/>
                            <wp:docPr id="10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15050" cy="277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37D52" w:rsidRDefault="00C37D52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2495" w:rsidRDefault="0067249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2495" w:rsidRDefault="0067249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2495" w:rsidRDefault="0067249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2495" w:rsidRDefault="0067249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2495" w:rsidRDefault="0067249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2495" w:rsidRDefault="0067249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2495" w:rsidRDefault="0067249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2495" w:rsidRDefault="0067249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2495" w:rsidRDefault="0067249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2495" w:rsidRDefault="0067249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2495" w:rsidRDefault="0067249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72495" w:rsidRDefault="0067249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72495" w:rsidRDefault="0067249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72495" w:rsidRDefault="0067249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72495" w:rsidRDefault="0067249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72495" w:rsidRDefault="0067249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72495" w:rsidRDefault="0067249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0610F" w:rsidRDefault="0020610F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A04F1" w:rsidRDefault="00AA04F1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FD1696" w:rsidRDefault="00FD1696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FD1696" w:rsidRDefault="00FD1696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20610F" w:rsidRDefault="0020610F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QUANTI</w:t>
      </w:r>
      <w:r w:rsidR="00792C7D">
        <w:rPr>
          <w:rFonts w:ascii="Times New Roman" w:hAnsi="Times New Roman" w:cs="Times New Roman"/>
          <w:b/>
          <w:bCs/>
          <w:color w:val="000000"/>
          <w:sz w:val="21"/>
          <w:szCs w:val="21"/>
        </w:rPr>
        <w:t>TATIVI RIFIUTI - CONSUNTIVO 2015</w:t>
      </w:r>
    </w:p>
    <w:p w:rsidR="00181666" w:rsidRDefault="00181666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20610F" w:rsidRDefault="0020610F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criteri di suddivisione dei costi tra utenze domestiche e non domestiche sono stati stabiliti in base</w:t>
      </w:r>
    </w:p>
    <w:p w:rsidR="0020610F" w:rsidRDefault="0020610F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criteri razionali prendendo spunto da quanto indicato </w:t>
      </w:r>
      <w:r w:rsidR="00672495">
        <w:rPr>
          <w:rFonts w:ascii="Times New Roman" w:hAnsi="Times New Roman" w:cs="Times New Roman"/>
          <w:color w:val="000000"/>
          <w:sz w:val="24"/>
          <w:szCs w:val="24"/>
        </w:rPr>
        <w:t xml:space="preserve">nelle linee guida approvate dal </w:t>
      </w:r>
      <w:r>
        <w:rPr>
          <w:rFonts w:ascii="Times New Roman" w:hAnsi="Times New Roman" w:cs="Times New Roman"/>
          <w:color w:val="000000"/>
          <w:sz w:val="24"/>
          <w:szCs w:val="24"/>
        </w:rPr>
        <w:t>Ministero</w:t>
      </w:r>
      <w:r w:rsidR="004304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dell’Economia e Finanze quale suggerimento operativo, vale a dire:</w:t>
      </w:r>
    </w:p>
    <w:p w:rsidR="0020610F" w:rsidRPr="004304A5" w:rsidRDefault="0020610F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792C7D">
        <w:rPr>
          <w:rFonts w:ascii="Times New Roman" w:hAnsi="Times New Roman" w:cs="Times New Roman"/>
          <w:color w:val="000000"/>
          <w:sz w:val="24"/>
          <w:szCs w:val="24"/>
        </w:rPr>
        <w:t>parte fissa utenze domestiche 60,86% e utenze non domestiche 43,95</w:t>
      </w:r>
      <w:r>
        <w:rPr>
          <w:rFonts w:ascii="Times New Roman" w:hAnsi="Times New Roman" w:cs="Times New Roman"/>
          <w:color w:val="000000"/>
          <w:sz w:val="24"/>
          <w:szCs w:val="24"/>
        </w:rPr>
        <w:t>%, è stata ripartita in base al</w:t>
      </w:r>
      <w:r w:rsidR="004304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rapporto tra le superfici occupate dalle categorie, (in assenza di altri dati certi disponibili)</w:t>
      </w:r>
      <w:r w:rsidR="004304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con una agevolazione per le utenze domestiche così come obbligatoriamente previsto dall’art. 4</w:t>
      </w:r>
      <w:r w:rsidR="004304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del D.P.R. 158/99, in attuazione dell’art. 49, comma 10 del D.lgs. 22/97. </w:t>
      </w:r>
      <w:r w:rsidRPr="004304A5">
        <w:rPr>
          <w:rFonts w:ascii="Times New Roman" w:hAnsi="Times New Roman" w:cs="Times New Roman"/>
          <w:b/>
          <w:color w:val="000000"/>
          <w:sz w:val="23"/>
          <w:szCs w:val="23"/>
        </w:rPr>
        <w:t>Dato originario</w:t>
      </w:r>
      <w:r w:rsidR="004304A5" w:rsidRPr="004304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92C7D">
        <w:rPr>
          <w:rFonts w:ascii="Times New Roman" w:hAnsi="Times New Roman" w:cs="Times New Roman"/>
          <w:b/>
          <w:color w:val="000000"/>
          <w:sz w:val="23"/>
          <w:szCs w:val="23"/>
        </w:rPr>
        <w:t>rapporto tra le superfici 73,16% domestiche 26,84</w:t>
      </w:r>
      <w:r w:rsidRPr="004304A5">
        <w:rPr>
          <w:rFonts w:ascii="Times New Roman" w:hAnsi="Times New Roman" w:cs="Times New Roman"/>
          <w:b/>
          <w:color w:val="000000"/>
          <w:sz w:val="23"/>
          <w:szCs w:val="23"/>
        </w:rPr>
        <w:t>% non dom</w:t>
      </w:r>
      <w:r w:rsidR="004304A5" w:rsidRPr="004304A5">
        <w:rPr>
          <w:rFonts w:ascii="Times New Roman" w:hAnsi="Times New Roman" w:cs="Times New Roman"/>
          <w:b/>
          <w:color w:val="000000"/>
          <w:sz w:val="23"/>
          <w:szCs w:val="23"/>
        </w:rPr>
        <w:t>estiche</w:t>
      </w:r>
      <w:r w:rsidR="00181666">
        <w:rPr>
          <w:rFonts w:ascii="Times New Roman" w:hAnsi="Times New Roman" w:cs="Times New Roman"/>
          <w:b/>
          <w:color w:val="000000"/>
          <w:sz w:val="23"/>
          <w:szCs w:val="23"/>
        </w:rPr>
        <w:t>,</w:t>
      </w:r>
      <w:r w:rsidR="00792C7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con correzione pari a 12,30</w:t>
      </w:r>
      <w:r w:rsidRPr="004304A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punti</w:t>
      </w:r>
      <w:r w:rsidR="004304A5" w:rsidRPr="004304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304A5">
        <w:rPr>
          <w:rFonts w:ascii="Times New Roman" w:hAnsi="Times New Roman" w:cs="Times New Roman"/>
          <w:b/>
          <w:color w:val="000000"/>
          <w:sz w:val="23"/>
          <w:szCs w:val="23"/>
        </w:rPr>
        <w:t>percentuali.</w:t>
      </w:r>
    </w:p>
    <w:p w:rsidR="0020610F" w:rsidRPr="00316B64" w:rsidRDefault="0020610F" w:rsidP="004304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16B64">
        <w:rPr>
          <w:rFonts w:cs="Times New Roman"/>
          <w:color w:val="000000"/>
          <w:sz w:val="24"/>
          <w:szCs w:val="24"/>
        </w:rPr>
        <w:t>b) part</w:t>
      </w:r>
      <w:r w:rsidR="000B65C2" w:rsidRPr="00316B64">
        <w:rPr>
          <w:rFonts w:cs="Times New Roman"/>
          <w:color w:val="000000"/>
          <w:sz w:val="24"/>
          <w:szCs w:val="24"/>
        </w:rPr>
        <w:t>e vari</w:t>
      </w:r>
      <w:r w:rsidR="00220293" w:rsidRPr="00316B64">
        <w:rPr>
          <w:rFonts w:cs="Times New Roman"/>
          <w:color w:val="000000"/>
          <w:sz w:val="24"/>
          <w:szCs w:val="24"/>
        </w:rPr>
        <w:t>abile uten</w:t>
      </w:r>
      <w:r w:rsidR="00792C7D" w:rsidRPr="00316B64">
        <w:rPr>
          <w:rFonts w:cs="Times New Roman"/>
          <w:color w:val="000000"/>
          <w:sz w:val="24"/>
          <w:szCs w:val="24"/>
        </w:rPr>
        <w:t>ze domestiche 60,86% e utenze non domestiche 39,14</w:t>
      </w:r>
      <w:r w:rsidRPr="00316B64">
        <w:rPr>
          <w:rFonts w:cs="Times New Roman"/>
          <w:color w:val="000000"/>
          <w:sz w:val="24"/>
          <w:szCs w:val="24"/>
        </w:rPr>
        <w:t>% è stata effettuata</w:t>
      </w:r>
      <w:r w:rsidR="004304A5" w:rsidRPr="00316B64">
        <w:rPr>
          <w:rFonts w:cs="Times New Roman"/>
          <w:color w:val="000000"/>
          <w:sz w:val="24"/>
          <w:szCs w:val="24"/>
        </w:rPr>
        <w:t xml:space="preserve"> </w:t>
      </w:r>
      <w:r w:rsidRPr="00316B64">
        <w:rPr>
          <w:rFonts w:cs="Times New Roman"/>
          <w:color w:val="000000"/>
          <w:sz w:val="24"/>
          <w:szCs w:val="24"/>
        </w:rPr>
        <w:t xml:space="preserve">basandosi sulla produzione </w:t>
      </w:r>
      <w:r w:rsidR="004304A5" w:rsidRPr="00316B64">
        <w:rPr>
          <w:rFonts w:cs="Times New Roman"/>
          <w:color w:val="000000"/>
          <w:sz w:val="24"/>
          <w:szCs w:val="24"/>
        </w:rPr>
        <w:t xml:space="preserve">teorica </w:t>
      </w:r>
      <w:r w:rsidRPr="00316B64">
        <w:rPr>
          <w:rFonts w:cs="Times New Roman"/>
          <w:color w:val="000000"/>
          <w:sz w:val="24"/>
          <w:szCs w:val="24"/>
        </w:rPr>
        <w:t>di rifiuti. In assenza di dati concreti ed utilizzabili circa la</w:t>
      </w:r>
      <w:r w:rsidR="004304A5" w:rsidRPr="00316B64">
        <w:rPr>
          <w:rFonts w:cs="Times New Roman"/>
          <w:color w:val="000000"/>
          <w:sz w:val="24"/>
          <w:szCs w:val="24"/>
        </w:rPr>
        <w:t xml:space="preserve"> </w:t>
      </w:r>
      <w:r w:rsidRPr="00316B64">
        <w:rPr>
          <w:rFonts w:cs="Times New Roman"/>
          <w:color w:val="000000"/>
          <w:sz w:val="24"/>
          <w:szCs w:val="24"/>
        </w:rPr>
        <w:t>produzione effettiva di rifiuti attribuibile moltiplicando il coefficiente Kd (potenziale produzione di rifiuti kg/mq) di ogni per i mq sviluppati</w:t>
      </w:r>
      <w:r w:rsidR="004304A5" w:rsidRPr="00316B64">
        <w:rPr>
          <w:rFonts w:cs="Times New Roman"/>
          <w:color w:val="000000"/>
          <w:sz w:val="24"/>
          <w:szCs w:val="24"/>
        </w:rPr>
        <w:t xml:space="preserve"> dalle utenze non domestiche </w:t>
      </w:r>
      <w:r w:rsidRPr="00316B64">
        <w:rPr>
          <w:rFonts w:cs="Times New Roman"/>
          <w:color w:val="000000"/>
          <w:sz w:val="24"/>
          <w:szCs w:val="24"/>
        </w:rPr>
        <w:t>e per differenza è stata ottenuta</w:t>
      </w:r>
      <w:r w:rsidR="004304A5" w:rsidRPr="00316B64">
        <w:rPr>
          <w:rFonts w:cs="Times New Roman"/>
          <w:color w:val="000000"/>
          <w:sz w:val="24"/>
          <w:szCs w:val="24"/>
        </w:rPr>
        <w:t xml:space="preserve"> </w:t>
      </w:r>
      <w:r w:rsidRPr="00316B64">
        <w:rPr>
          <w:rFonts w:cs="Times New Roman"/>
          <w:color w:val="000000"/>
          <w:sz w:val="24"/>
          <w:szCs w:val="24"/>
        </w:rPr>
        <w:t>la produzione delle domestiche (Metodo consigliato dal MEF nelle linee guida alla TARES).</w:t>
      </w:r>
    </w:p>
    <w:p w:rsidR="004304A5" w:rsidRPr="00316B64" w:rsidRDefault="0020610F" w:rsidP="004304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16B64">
        <w:rPr>
          <w:rFonts w:cs="Times New Roman"/>
          <w:color w:val="000000"/>
          <w:sz w:val="24"/>
          <w:szCs w:val="24"/>
        </w:rPr>
        <w:t>Sono stati utilizzati, in assenza di dati disponibili misurati appositamente per il nostro comune, i</w:t>
      </w:r>
      <w:r w:rsidR="004304A5" w:rsidRPr="00316B64">
        <w:rPr>
          <w:rFonts w:cs="Times New Roman"/>
          <w:color w:val="000000"/>
          <w:sz w:val="24"/>
          <w:szCs w:val="24"/>
        </w:rPr>
        <w:t xml:space="preserve"> </w:t>
      </w:r>
      <w:r w:rsidRPr="00316B64">
        <w:rPr>
          <w:rFonts w:cs="Times New Roman"/>
          <w:color w:val="000000"/>
          <w:sz w:val="24"/>
          <w:szCs w:val="24"/>
        </w:rPr>
        <w:t>coefficienti di produttività e di adattamento indicati dal D.P.R. n. 158/1999. Come da D.P.R. n.</w:t>
      </w:r>
      <w:r w:rsidR="004304A5" w:rsidRPr="00316B64">
        <w:rPr>
          <w:rFonts w:cs="Times New Roman"/>
          <w:color w:val="000000"/>
          <w:sz w:val="24"/>
          <w:szCs w:val="24"/>
        </w:rPr>
        <w:t xml:space="preserve"> </w:t>
      </w:r>
      <w:r w:rsidRPr="00316B64">
        <w:rPr>
          <w:rFonts w:cs="Times New Roman"/>
          <w:color w:val="000000"/>
          <w:sz w:val="24"/>
          <w:szCs w:val="24"/>
        </w:rPr>
        <w:t>158/1999, sono stati utilizzati i valori sia per il Kc (parte fissa), sia per Kd (parte variabile) al</w:t>
      </w:r>
      <w:r w:rsidR="004304A5" w:rsidRPr="00316B64">
        <w:rPr>
          <w:rFonts w:cs="Times New Roman"/>
          <w:color w:val="000000"/>
          <w:sz w:val="24"/>
          <w:szCs w:val="24"/>
        </w:rPr>
        <w:t xml:space="preserve"> </w:t>
      </w:r>
      <w:r w:rsidRPr="00316B64">
        <w:rPr>
          <w:rFonts w:cs="Times New Roman"/>
          <w:color w:val="000000"/>
          <w:sz w:val="24"/>
          <w:szCs w:val="24"/>
        </w:rPr>
        <w:t xml:space="preserve">minimo con riferimento al Sud d’Italia. </w:t>
      </w:r>
      <w:r w:rsidR="004304A5" w:rsidRPr="00316B64">
        <w:rPr>
          <w:rFonts w:cs="Times New Roman"/>
          <w:color w:val="000000"/>
          <w:sz w:val="24"/>
          <w:szCs w:val="24"/>
        </w:rPr>
        <w:t>).</w:t>
      </w:r>
      <w:r w:rsidR="004304A5" w:rsidRPr="00316B64">
        <w:rPr>
          <w:rFonts w:cs="Times New Roman"/>
        </w:rPr>
        <w:t xml:space="preserve"> </w:t>
      </w:r>
      <w:r w:rsidR="004304A5" w:rsidRPr="00316B64">
        <w:rPr>
          <w:rFonts w:cs="Times New Roman"/>
          <w:sz w:val="24"/>
          <w:szCs w:val="24"/>
        </w:rPr>
        <w:t xml:space="preserve">Avvalendosi, inoltre,  della facoltà offerta dall’ultimo periodo del comma 652, dell’art. 1, della </w:t>
      </w:r>
      <w:hyperlink r:id="rId14" w:tgtFrame="BT" w:history="1">
        <w:r w:rsidR="004304A5" w:rsidRPr="00316B64">
          <w:rPr>
            <w:rStyle w:val="Collegamentoipertestuale"/>
            <w:rFonts w:cs="Times New Roman"/>
            <w:color w:val="auto"/>
            <w:sz w:val="24"/>
            <w:szCs w:val="24"/>
            <w:u w:val="none"/>
          </w:rPr>
          <w:t>Legge 147/2013</w:t>
        </w:r>
      </w:hyperlink>
      <w:r w:rsidR="004304A5" w:rsidRPr="00316B64">
        <w:rPr>
          <w:rFonts w:cs="Times New Roman"/>
          <w:sz w:val="24"/>
          <w:szCs w:val="24"/>
        </w:rPr>
        <w:t>, in virtù della quale il Comune può pr</w:t>
      </w:r>
      <w:r w:rsidR="00316B64">
        <w:rPr>
          <w:rFonts w:cs="Times New Roman"/>
          <w:sz w:val="24"/>
          <w:szCs w:val="24"/>
        </w:rPr>
        <w:t>evedere per gli anni 2014,2015 e 2016</w:t>
      </w:r>
      <w:r w:rsidR="004304A5" w:rsidRPr="00316B64">
        <w:rPr>
          <w:rFonts w:cs="Times New Roman"/>
          <w:sz w:val="24"/>
          <w:szCs w:val="24"/>
        </w:rPr>
        <w:t xml:space="preserve"> l’adozione dei coefficienti di cui all’allegato 1, tabelle 2, 3a, 3b, 4a e 4b, del regolamento di cui al decreto del Presidente della Repubblica n. 158 del 1999, inferiori ai minimi o superiori ai massimi ivi indicati del 50 per cento e può altresì non considerare i coefficienti di cui alle tabelle 1a e 1b del medesimo allegato 1.</w:t>
      </w:r>
    </w:p>
    <w:p w:rsidR="00115D3B" w:rsidRDefault="002A385D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B64">
        <w:rPr>
          <w:rFonts w:cs="Times New Roman"/>
          <w:sz w:val="24"/>
          <w:szCs w:val="24"/>
        </w:rPr>
        <w:t>Si riportano le ta</w:t>
      </w:r>
      <w:r w:rsidR="00115D3B" w:rsidRPr="00316B64">
        <w:rPr>
          <w:rFonts w:cs="Times New Roman"/>
          <w:sz w:val="24"/>
          <w:szCs w:val="24"/>
        </w:rPr>
        <w:t>belle relative ai coefficienti  per le UD e UND:</w:t>
      </w:r>
      <w:r w:rsidR="000A55AD" w:rsidRPr="00316B64">
        <w:rPr>
          <w:rFonts w:cs="Times New Roman"/>
          <w:sz w:val="24"/>
          <w:szCs w:val="24"/>
        </w:rPr>
        <w:t xml:space="preserve"> ( in rosso sono riportati i coefficienti per le quali si e’ provveduto alla </w:t>
      </w:r>
      <w:r w:rsidR="00CC06D6">
        <w:rPr>
          <w:rFonts w:cs="Times New Roman"/>
          <w:sz w:val="24"/>
          <w:szCs w:val="24"/>
        </w:rPr>
        <w:t>facolta’</w:t>
      </w:r>
      <w:r w:rsidR="000A55AD" w:rsidRPr="00316B64">
        <w:rPr>
          <w:rFonts w:cs="Times New Roman"/>
          <w:sz w:val="24"/>
          <w:szCs w:val="24"/>
        </w:rPr>
        <w:t xml:space="preserve"> prevista </w:t>
      </w:r>
      <w:r w:rsidR="00CC06D6">
        <w:rPr>
          <w:rFonts w:cs="Times New Roman"/>
          <w:sz w:val="24"/>
          <w:szCs w:val="24"/>
        </w:rPr>
        <w:t>dal comma 652</w:t>
      </w:r>
      <w:r w:rsidR="00F1172D">
        <w:rPr>
          <w:rFonts w:cs="Times New Roman"/>
          <w:sz w:val="24"/>
          <w:szCs w:val="24"/>
        </w:rPr>
        <w:t xml:space="preserve"> dell’art.1 della Legge 147/2013.</w:t>
      </w:r>
    </w:p>
    <w:p w:rsidR="00115D3B" w:rsidRDefault="00115D3B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D3B" w:rsidRDefault="00115D3B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D3B" w:rsidRDefault="00115D3B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D3B" w:rsidRDefault="00115D3B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D3B" w:rsidRDefault="00115D3B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D3B" w:rsidRDefault="00722B27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12700</wp:posOffset>
                </wp:positionV>
                <wp:extent cx="6619875" cy="5229225"/>
                <wp:effectExtent l="9525" t="8255" r="9525" b="10795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522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513" w:type="dxa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73"/>
                              <w:gridCol w:w="992"/>
                              <w:gridCol w:w="190"/>
                              <w:gridCol w:w="1021"/>
                              <w:gridCol w:w="495"/>
                              <w:gridCol w:w="869"/>
                              <w:gridCol w:w="973"/>
                            </w:tblGrid>
                            <w:tr w:rsidR="00E24854" w:rsidRPr="00115D3B" w:rsidTr="00C37D52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115D3B" w:rsidRDefault="00E24854" w:rsidP="0008044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 xml:space="preserve">Ka scelto                 </w:t>
                                  </w: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Kb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 xml:space="preserve">            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24854" w:rsidRDefault="00E24854" w:rsidP="0008044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Kb scelto</w:t>
                                  </w:r>
                                </w:p>
                              </w:tc>
                            </w:tr>
                            <w:tr w:rsidR="00E24854" w:rsidRPr="00115D3B" w:rsidTr="00C37D52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2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 xml:space="preserve"> UD - </w:t>
                                  </w: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Componenti nucleo famigliare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8000"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8000"/>
                                      <w:sz w:val="16"/>
                                      <w:szCs w:val="16"/>
                                      <w:lang w:eastAsia="it-IT"/>
                                    </w:rPr>
                                    <w:t>&gt;5000 Abitanti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 xml:space="preserve"> 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15D3B" w:rsidRDefault="00CC06D6" w:rsidP="00CC06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m</w:t>
                                  </w:r>
                                  <w:r w:rsidR="00E24854" w:rsidRPr="00115D3B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max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E24854" w:rsidRPr="00115D3B" w:rsidTr="00C37D52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 xml:space="preserve">Famiglie di 1 componente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>0,81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220293" w:rsidRDefault="00E2485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2029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0,81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0B65C2" w:rsidRDefault="00E2485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B65C2">
                                    <w:rPr>
                                      <w:sz w:val="20"/>
                                      <w:szCs w:val="20"/>
                                    </w:rPr>
                                    <w:t>0,60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0B65C2" w:rsidRDefault="00E2485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B65C2">
                                    <w:rPr>
                                      <w:sz w:val="20"/>
                                      <w:szCs w:val="20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E24854" w:rsidRPr="000B65C2" w:rsidRDefault="00E2485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B65C2">
                                    <w:rPr>
                                      <w:b/>
                                    </w:rPr>
                                    <w:t>1,00</w:t>
                                  </w:r>
                                </w:p>
                              </w:tc>
                            </w:tr>
                            <w:tr w:rsidR="00E24854" w:rsidRPr="00115D3B" w:rsidTr="00C37D52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 xml:space="preserve">Famiglie di 2 componenti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>0,94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220293" w:rsidRDefault="00E2485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2029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0,94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0B65C2" w:rsidRDefault="00E2485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B65C2">
                                    <w:rPr>
                                      <w:sz w:val="20"/>
                                      <w:szCs w:val="20"/>
                                    </w:rPr>
                                    <w:t>1,40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0B65C2" w:rsidRDefault="00E2485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B65C2">
                                    <w:rPr>
                                      <w:sz w:val="20"/>
                                      <w:szCs w:val="20"/>
                                    </w:rPr>
                                    <w:t>1,80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E24854" w:rsidRPr="000B65C2" w:rsidRDefault="00E2485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B65C2">
                                    <w:rPr>
                                      <w:b/>
                                    </w:rPr>
                                    <w:t>1,80</w:t>
                                  </w:r>
                                </w:p>
                              </w:tc>
                            </w:tr>
                            <w:tr w:rsidR="00E24854" w:rsidRPr="00115D3B" w:rsidTr="00C37D52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 xml:space="preserve">Famiglie di 3 componenti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>1,02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220293" w:rsidRDefault="00E2485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2029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1,02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0B65C2" w:rsidRDefault="00E2485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B65C2">
                                    <w:rPr>
                                      <w:sz w:val="20"/>
                                      <w:szCs w:val="20"/>
                                    </w:rPr>
                                    <w:t>1,80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0B65C2" w:rsidRDefault="00E2485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B65C2">
                                    <w:rPr>
                                      <w:sz w:val="20"/>
                                      <w:szCs w:val="20"/>
                                    </w:rPr>
                                    <w:t>2,30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E24854" w:rsidRPr="000B65C2" w:rsidRDefault="00E2485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B65C2">
                                    <w:rPr>
                                      <w:b/>
                                    </w:rPr>
                                    <w:t>2,30</w:t>
                                  </w:r>
                                </w:p>
                              </w:tc>
                            </w:tr>
                            <w:tr w:rsidR="00E24854" w:rsidRPr="00115D3B" w:rsidTr="00C37D52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 xml:space="preserve">Famiglie di 4 componenti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>1,09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220293" w:rsidRDefault="00E2485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2029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1,09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0B65C2" w:rsidRDefault="00E2485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B65C2">
                                    <w:rPr>
                                      <w:sz w:val="20"/>
                                      <w:szCs w:val="20"/>
                                    </w:rPr>
                                    <w:t>2,20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0B65C2" w:rsidRDefault="00E2485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B65C2">
                                    <w:rPr>
                                      <w:sz w:val="20"/>
                                      <w:szCs w:val="20"/>
                                    </w:rPr>
                                    <w:t>3,00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E24854" w:rsidRPr="000B65C2" w:rsidRDefault="00E2485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B65C2">
                                    <w:rPr>
                                      <w:b/>
                                    </w:rPr>
                                    <w:t>2,60</w:t>
                                  </w:r>
                                </w:p>
                              </w:tc>
                            </w:tr>
                            <w:tr w:rsidR="00E24854" w:rsidRPr="00115D3B" w:rsidTr="00C37D52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 xml:space="preserve">Famiglie di 5 componenti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>1,10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220293" w:rsidRDefault="00E2485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2029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1,10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0B65C2" w:rsidRDefault="00E2485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B65C2">
                                    <w:rPr>
                                      <w:sz w:val="20"/>
                                      <w:szCs w:val="20"/>
                                    </w:rPr>
                                    <w:t>2,90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0B65C2" w:rsidRDefault="00E2485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B65C2">
                                    <w:rPr>
                                      <w:sz w:val="20"/>
                                      <w:szCs w:val="20"/>
                                    </w:rPr>
                                    <w:t>3,60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E24854" w:rsidRPr="000B65C2" w:rsidRDefault="00E2485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B65C2">
                                    <w:rPr>
                                      <w:b/>
                                    </w:rPr>
                                    <w:t>2,90</w:t>
                                  </w:r>
                                </w:p>
                              </w:tc>
                            </w:tr>
                            <w:tr w:rsidR="00E24854" w:rsidRPr="00115D3B" w:rsidTr="00C37D52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 xml:space="preserve">Famiglie di 6 o più componenti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>1,06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220293" w:rsidRDefault="00E2485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2029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1,06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0B65C2" w:rsidRDefault="00E2485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B65C2">
                                    <w:rPr>
                                      <w:sz w:val="20"/>
                                      <w:szCs w:val="20"/>
                                    </w:rPr>
                                    <w:t>3,40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0B65C2" w:rsidRDefault="00E2485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B65C2">
                                    <w:rPr>
                                      <w:sz w:val="20"/>
                                      <w:szCs w:val="20"/>
                                    </w:rPr>
                                    <w:t>4,10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E24854" w:rsidRPr="000B65C2" w:rsidRDefault="00E2485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B65C2">
                                    <w:rPr>
                                      <w:b/>
                                    </w:rPr>
                                    <w:t>3,40</w:t>
                                  </w:r>
                                </w:p>
                              </w:tc>
                            </w:tr>
                            <w:tr w:rsidR="00E24854" w:rsidRPr="00115D3B" w:rsidTr="00C37D52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E24854" w:rsidRPr="00115D3B" w:rsidRDefault="00E24854" w:rsidP="00CC06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>Superfici domestiche accessorie 1 comp.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>0,81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220293" w:rsidRDefault="00E2485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2029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0,81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E24854" w:rsidRPr="00115D3B" w:rsidTr="00C37D52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>Superfici domestiche accessorie 2 comp.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>0,94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220293" w:rsidRDefault="00E2485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2029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0,94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E24854" w:rsidRPr="00115D3B" w:rsidTr="00C37D52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>Superfici domestiche accessorie 3 comp.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>1,02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220293" w:rsidRDefault="00E2485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2029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1,02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E24854" w:rsidRPr="00115D3B" w:rsidTr="00C37D52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>Superfici domestiche accessorie 4 comp.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>1,09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220293" w:rsidRDefault="00E2485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2029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1,09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E24854" w:rsidRPr="00115D3B" w:rsidTr="00C37D52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>Superfici domestiche accessorie 5 comp.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>1,10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220293" w:rsidRDefault="00E2485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2029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1,10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E24854" w:rsidRPr="00115D3B" w:rsidTr="00C37D52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2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>Superfici domestiche accessorie &gt; 6 comp.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>1,06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220293" w:rsidRDefault="00E2485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2029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1,06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115D3B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24854" w:rsidRPr="00115D3B" w:rsidRDefault="00E24854" w:rsidP="00115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4854" w:rsidRDefault="00E248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left:0;text-align:left;margin-left:-5.7pt;margin-top:1pt;width:521.25pt;height:4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">
                <v:textbox>
                  <w:txbxContent>
                    <w:tbl>
                      <w:tblPr>
                        <w:tblW w:w="7513" w:type="dxa"/>
                        <w:jc w:val="center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73"/>
                        <w:gridCol w:w="992"/>
                        <w:gridCol w:w="190"/>
                        <w:gridCol w:w="1021"/>
                        <w:gridCol w:w="495"/>
                        <w:gridCol w:w="869"/>
                        <w:gridCol w:w="973"/>
                      </w:tblGrid>
                      <w:tr w:rsidR="00E24854" w:rsidRPr="00115D3B" w:rsidTr="00C37D52">
                        <w:trPr>
                          <w:trHeight w:val="255"/>
                          <w:jc w:val="center"/>
                        </w:trPr>
                        <w:tc>
                          <w:tcPr>
                            <w:tcW w:w="29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38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115D3B" w:rsidRDefault="00E24854" w:rsidP="000804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Ka scelto                 </w:t>
                            </w:r>
                            <w:r w:rsidRPr="00115D3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Kb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            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24854" w:rsidRDefault="00E24854" w:rsidP="000804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Kb scelto</w:t>
                            </w:r>
                          </w:p>
                        </w:tc>
                      </w:tr>
                      <w:tr w:rsidR="00E24854" w:rsidRPr="00115D3B" w:rsidTr="00C37D52">
                        <w:trPr>
                          <w:trHeight w:val="70"/>
                          <w:jc w:val="center"/>
                        </w:trPr>
                        <w:tc>
                          <w:tcPr>
                            <w:tcW w:w="29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 UD - </w:t>
                            </w:r>
                            <w:r w:rsidRPr="00115D3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Componenti nucleo famigliare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16"/>
                                <w:szCs w:val="16"/>
                                <w:lang w:eastAsia="it-IT"/>
                              </w:rPr>
                              <w:t>&gt;5000 Abitanti</w:t>
                            </w:r>
                          </w:p>
                        </w:tc>
                        <w:tc>
                          <w:tcPr>
                            <w:tcW w:w="121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 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15D3B" w:rsidRDefault="00CC06D6" w:rsidP="00CC06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m</w:t>
                            </w:r>
                            <w:r w:rsidR="00E24854" w:rsidRPr="00115D3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max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</w:tc>
                      </w:tr>
                      <w:tr w:rsidR="00E24854" w:rsidRPr="00115D3B" w:rsidTr="00C37D52">
                        <w:trPr>
                          <w:trHeight w:val="255"/>
                          <w:jc w:val="center"/>
                        </w:trPr>
                        <w:tc>
                          <w:tcPr>
                            <w:tcW w:w="29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 xml:space="preserve">Famiglie di 1 componente 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>0,81</w:t>
                            </w:r>
                          </w:p>
                        </w:tc>
                        <w:tc>
                          <w:tcPr>
                            <w:tcW w:w="121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220293" w:rsidRDefault="00E2485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20293">
                              <w:rPr>
                                <w:b/>
                                <w:sz w:val="20"/>
                                <w:szCs w:val="20"/>
                              </w:rPr>
                              <w:t>0,81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0B65C2" w:rsidRDefault="00E248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65C2">
                              <w:rPr>
                                <w:sz w:val="20"/>
                                <w:szCs w:val="20"/>
                              </w:rPr>
                              <w:t>0,60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0B65C2" w:rsidRDefault="00E248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65C2">
                              <w:rPr>
                                <w:sz w:val="20"/>
                                <w:szCs w:val="20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E24854" w:rsidRPr="000B65C2" w:rsidRDefault="00E2485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B65C2">
                              <w:rPr>
                                <w:b/>
                              </w:rPr>
                              <w:t>1,00</w:t>
                            </w:r>
                          </w:p>
                        </w:tc>
                      </w:tr>
                      <w:tr w:rsidR="00E24854" w:rsidRPr="00115D3B" w:rsidTr="00C37D52">
                        <w:trPr>
                          <w:trHeight w:val="255"/>
                          <w:jc w:val="center"/>
                        </w:trPr>
                        <w:tc>
                          <w:tcPr>
                            <w:tcW w:w="29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 xml:space="preserve">Famiglie di 2 componenti 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>0,94</w:t>
                            </w:r>
                          </w:p>
                        </w:tc>
                        <w:tc>
                          <w:tcPr>
                            <w:tcW w:w="121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220293" w:rsidRDefault="00E2485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20293">
                              <w:rPr>
                                <w:b/>
                                <w:sz w:val="20"/>
                                <w:szCs w:val="20"/>
                              </w:rPr>
                              <w:t>0,94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0B65C2" w:rsidRDefault="00E248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65C2">
                              <w:rPr>
                                <w:sz w:val="20"/>
                                <w:szCs w:val="20"/>
                              </w:rPr>
                              <w:t>1,40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0B65C2" w:rsidRDefault="00E248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65C2">
                              <w:rPr>
                                <w:sz w:val="20"/>
                                <w:szCs w:val="20"/>
                              </w:rPr>
                              <w:t>1,80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E24854" w:rsidRPr="000B65C2" w:rsidRDefault="00E2485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B65C2">
                              <w:rPr>
                                <w:b/>
                              </w:rPr>
                              <w:t>1,80</w:t>
                            </w:r>
                          </w:p>
                        </w:tc>
                      </w:tr>
                      <w:tr w:rsidR="00E24854" w:rsidRPr="00115D3B" w:rsidTr="00C37D52">
                        <w:trPr>
                          <w:trHeight w:val="255"/>
                          <w:jc w:val="center"/>
                        </w:trPr>
                        <w:tc>
                          <w:tcPr>
                            <w:tcW w:w="29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 xml:space="preserve">Famiglie di 3 componenti 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>1,02</w:t>
                            </w:r>
                          </w:p>
                        </w:tc>
                        <w:tc>
                          <w:tcPr>
                            <w:tcW w:w="121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220293" w:rsidRDefault="00E2485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20293">
                              <w:rPr>
                                <w:b/>
                                <w:sz w:val="20"/>
                                <w:szCs w:val="20"/>
                              </w:rPr>
                              <w:t>1,02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0B65C2" w:rsidRDefault="00E248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65C2">
                              <w:rPr>
                                <w:sz w:val="20"/>
                                <w:szCs w:val="20"/>
                              </w:rPr>
                              <w:t>1,80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0B65C2" w:rsidRDefault="00E248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65C2">
                              <w:rPr>
                                <w:sz w:val="20"/>
                                <w:szCs w:val="20"/>
                              </w:rPr>
                              <w:t>2,30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E24854" w:rsidRPr="000B65C2" w:rsidRDefault="00E2485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B65C2">
                              <w:rPr>
                                <w:b/>
                              </w:rPr>
                              <w:t>2,30</w:t>
                            </w:r>
                          </w:p>
                        </w:tc>
                      </w:tr>
                      <w:tr w:rsidR="00E24854" w:rsidRPr="00115D3B" w:rsidTr="00C37D52">
                        <w:trPr>
                          <w:trHeight w:val="255"/>
                          <w:jc w:val="center"/>
                        </w:trPr>
                        <w:tc>
                          <w:tcPr>
                            <w:tcW w:w="29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 xml:space="preserve">Famiglie di 4 componenti 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>1,09</w:t>
                            </w:r>
                          </w:p>
                        </w:tc>
                        <w:tc>
                          <w:tcPr>
                            <w:tcW w:w="121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220293" w:rsidRDefault="00E2485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20293">
                              <w:rPr>
                                <w:b/>
                                <w:sz w:val="20"/>
                                <w:szCs w:val="20"/>
                              </w:rPr>
                              <w:t>1,09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0B65C2" w:rsidRDefault="00E248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65C2">
                              <w:rPr>
                                <w:sz w:val="20"/>
                                <w:szCs w:val="20"/>
                              </w:rPr>
                              <w:t>2,20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0B65C2" w:rsidRDefault="00E248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65C2">
                              <w:rPr>
                                <w:sz w:val="20"/>
                                <w:szCs w:val="20"/>
                              </w:rPr>
                              <w:t>3,00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E24854" w:rsidRPr="000B65C2" w:rsidRDefault="00E2485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B65C2">
                              <w:rPr>
                                <w:b/>
                              </w:rPr>
                              <w:t>2,60</w:t>
                            </w:r>
                          </w:p>
                        </w:tc>
                      </w:tr>
                      <w:tr w:rsidR="00E24854" w:rsidRPr="00115D3B" w:rsidTr="00C37D52">
                        <w:trPr>
                          <w:trHeight w:val="255"/>
                          <w:jc w:val="center"/>
                        </w:trPr>
                        <w:tc>
                          <w:tcPr>
                            <w:tcW w:w="29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 xml:space="preserve">Famiglie di 5 componenti 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>1,10</w:t>
                            </w:r>
                          </w:p>
                        </w:tc>
                        <w:tc>
                          <w:tcPr>
                            <w:tcW w:w="121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220293" w:rsidRDefault="00E2485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20293">
                              <w:rPr>
                                <w:b/>
                                <w:sz w:val="20"/>
                                <w:szCs w:val="20"/>
                              </w:rPr>
                              <w:t>1,10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0B65C2" w:rsidRDefault="00E248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65C2">
                              <w:rPr>
                                <w:sz w:val="20"/>
                                <w:szCs w:val="20"/>
                              </w:rPr>
                              <w:t>2,90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0B65C2" w:rsidRDefault="00E248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65C2">
                              <w:rPr>
                                <w:sz w:val="20"/>
                                <w:szCs w:val="20"/>
                              </w:rPr>
                              <w:t>3,60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E24854" w:rsidRPr="000B65C2" w:rsidRDefault="00E2485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B65C2">
                              <w:rPr>
                                <w:b/>
                              </w:rPr>
                              <w:t>2,90</w:t>
                            </w:r>
                          </w:p>
                        </w:tc>
                      </w:tr>
                      <w:tr w:rsidR="00E24854" w:rsidRPr="00115D3B" w:rsidTr="00C37D52">
                        <w:trPr>
                          <w:trHeight w:val="255"/>
                          <w:jc w:val="center"/>
                        </w:trPr>
                        <w:tc>
                          <w:tcPr>
                            <w:tcW w:w="29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 xml:space="preserve">Famiglie di 6 o più componenti 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>1,06</w:t>
                            </w:r>
                          </w:p>
                        </w:tc>
                        <w:tc>
                          <w:tcPr>
                            <w:tcW w:w="121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220293" w:rsidRDefault="00E2485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20293">
                              <w:rPr>
                                <w:b/>
                                <w:sz w:val="20"/>
                                <w:szCs w:val="20"/>
                              </w:rPr>
                              <w:t>1,06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0B65C2" w:rsidRDefault="00E248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65C2">
                              <w:rPr>
                                <w:sz w:val="20"/>
                                <w:szCs w:val="20"/>
                              </w:rPr>
                              <w:t>3,40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0B65C2" w:rsidRDefault="00E248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65C2">
                              <w:rPr>
                                <w:sz w:val="20"/>
                                <w:szCs w:val="20"/>
                              </w:rPr>
                              <w:t>4,10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E24854" w:rsidRPr="000B65C2" w:rsidRDefault="00E2485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B65C2">
                              <w:rPr>
                                <w:b/>
                              </w:rPr>
                              <w:t>3,40</w:t>
                            </w:r>
                          </w:p>
                        </w:tc>
                      </w:tr>
                      <w:tr w:rsidR="00E24854" w:rsidRPr="00115D3B" w:rsidTr="00C37D52">
                        <w:trPr>
                          <w:trHeight w:val="255"/>
                          <w:jc w:val="center"/>
                        </w:trPr>
                        <w:tc>
                          <w:tcPr>
                            <w:tcW w:w="29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E24854" w:rsidRPr="00115D3B" w:rsidRDefault="00E24854" w:rsidP="00CC06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>Superfici domestiche accessorie 1 comp.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>0,81</w:t>
                            </w:r>
                          </w:p>
                        </w:tc>
                        <w:tc>
                          <w:tcPr>
                            <w:tcW w:w="121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220293" w:rsidRDefault="00E2485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20293">
                              <w:rPr>
                                <w:b/>
                                <w:sz w:val="20"/>
                                <w:szCs w:val="20"/>
                              </w:rPr>
                              <w:t>0,81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</w:tc>
                      </w:tr>
                      <w:tr w:rsidR="00E24854" w:rsidRPr="00115D3B" w:rsidTr="00C37D52">
                        <w:trPr>
                          <w:trHeight w:val="255"/>
                          <w:jc w:val="center"/>
                        </w:trPr>
                        <w:tc>
                          <w:tcPr>
                            <w:tcW w:w="29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>Superfici domestiche accessorie 2 comp.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>0,94</w:t>
                            </w:r>
                          </w:p>
                        </w:tc>
                        <w:tc>
                          <w:tcPr>
                            <w:tcW w:w="121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220293" w:rsidRDefault="00E2485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20293">
                              <w:rPr>
                                <w:b/>
                                <w:sz w:val="20"/>
                                <w:szCs w:val="20"/>
                              </w:rPr>
                              <w:t>0,94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</w:tc>
                      </w:tr>
                      <w:tr w:rsidR="00E24854" w:rsidRPr="00115D3B" w:rsidTr="00C37D52">
                        <w:trPr>
                          <w:trHeight w:val="255"/>
                          <w:jc w:val="center"/>
                        </w:trPr>
                        <w:tc>
                          <w:tcPr>
                            <w:tcW w:w="29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>Superfici domestiche accessorie 3 comp.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>1,02</w:t>
                            </w:r>
                          </w:p>
                        </w:tc>
                        <w:tc>
                          <w:tcPr>
                            <w:tcW w:w="121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220293" w:rsidRDefault="00E2485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20293">
                              <w:rPr>
                                <w:b/>
                                <w:sz w:val="20"/>
                                <w:szCs w:val="20"/>
                              </w:rPr>
                              <w:t>1,02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</w:tc>
                      </w:tr>
                      <w:tr w:rsidR="00E24854" w:rsidRPr="00115D3B" w:rsidTr="00C37D52">
                        <w:trPr>
                          <w:trHeight w:val="255"/>
                          <w:jc w:val="center"/>
                        </w:trPr>
                        <w:tc>
                          <w:tcPr>
                            <w:tcW w:w="29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>Superfici domestiche accessorie 4 comp.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>1,09</w:t>
                            </w:r>
                          </w:p>
                        </w:tc>
                        <w:tc>
                          <w:tcPr>
                            <w:tcW w:w="121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220293" w:rsidRDefault="00E2485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20293">
                              <w:rPr>
                                <w:b/>
                                <w:sz w:val="20"/>
                                <w:szCs w:val="20"/>
                              </w:rPr>
                              <w:t>1,09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</w:tc>
                      </w:tr>
                      <w:tr w:rsidR="00E24854" w:rsidRPr="00115D3B" w:rsidTr="00C37D52">
                        <w:trPr>
                          <w:trHeight w:val="255"/>
                          <w:jc w:val="center"/>
                        </w:trPr>
                        <w:tc>
                          <w:tcPr>
                            <w:tcW w:w="29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>Superfici domestiche accessorie 5 comp.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>1,10</w:t>
                            </w:r>
                          </w:p>
                        </w:tc>
                        <w:tc>
                          <w:tcPr>
                            <w:tcW w:w="121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220293" w:rsidRDefault="00E2485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20293">
                              <w:rPr>
                                <w:b/>
                                <w:sz w:val="20"/>
                                <w:szCs w:val="20"/>
                              </w:rPr>
                              <w:t>1,10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</w:tc>
                      </w:tr>
                      <w:tr w:rsidR="00E24854" w:rsidRPr="00115D3B" w:rsidTr="00C37D52">
                        <w:trPr>
                          <w:trHeight w:val="378"/>
                          <w:jc w:val="center"/>
                        </w:trPr>
                        <w:tc>
                          <w:tcPr>
                            <w:tcW w:w="29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>Superfici domestiche accessorie &gt; 6 comp.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>1,06</w:t>
                            </w:r>
                          </w:p>
                        </w:tc>
                        <w:tc>
                          <w:tcPr>
                            <w:tcW w:w="121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220293" w:rsidRDefault="00E2485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20293">
                              <w:rPr>
                                <w:b/>
                                <w:sz w:val="20"/>
                                <w:szCs w:val="20"/>
                              </w:rPr>
                              <w:t>1,06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115D3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24854" w:rsidRPr="00115D3B" w:rsidRDefault="00E24854" w:rsidP="00115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</w:tc>
                      </w:tr>
                    </w:tbl>
                    <w:p w:rsidR="00E24854" w:rsidRDefault="00E24854"/>
                  </w:txbxContent>
                </v:textbox>
              </v:shape>
            </w:pict>
          </mc:Fallback>
        </mc:AlternateContent>
      </w:r>
    </w:p>
    <w:p w:rsidR="00115D3B" w:rsidRDefault="00115D3B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5D" w:rsidRDefault="002A385D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5D" w:rsidRDefault="002A385D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5D" w:rsidRDefault="002A385D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5D" w:rsidRDefault="002A385D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D3B" w:rsidRDefault="00115D3B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D3B" w:rsidRDefault="00115D3B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D3B" w:rsidRDefault="00115D3B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D3B" w:rsidRDefault="00115D3B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D3B" w:rsidRDefault="00115D3B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D3B" w:rsidRDefault="00115D3B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D3B" w:rsidRDefault="00115D3B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D3B" w:rsidRDefault="00115D3B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D3B" w:rsidRDefault="00115D3B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D3B" w:rsidRDefault="00115D3B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D3B" w:rsidRDefault="00115D3B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D3B" w:rsidRDefault="00115D3B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D3B" w:rsidRDefault="00115D3B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5D" w:rsidRDefault="002A385D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5D" w:rsidRDefault="002A385D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5D" w:rsidRDefault="002A385D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5D" w:rsidRDefault="002A385D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405" w:rsidRDefault="00F26405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405" w:rsidRDefault="00F26405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405" w:rsidRDefault="00F26405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405" w:rsidRDefault="00F26405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405" w:rsidRDefault="00F26405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405" w:rsidRDefault="00F26405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405" w:rsidRDefault="00F26405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405" w:rsidRDefault="00F26405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405" w:rsidRDefault="00F26405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405" w:rsidRDefault="00F26405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0293" w:rsidRDefault="00220293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0293" w:rsidRDefault="00220293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0293" w:rsidRDefault="00220293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0293" w:rsidRDefault="00220293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0293" w:rsidRDefault="00220293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405" w:rsidRDefault="00F26405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405" w:rsidRDefault="00F26405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405" w:rsidRDefault="00F26405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405" w:rsidRDefault="00F26405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405" w:rsidRDefault="00F26405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405" w:rsidRDefault="00F26405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405" w:rsidRDefault="00F26405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405" w:rsidRDefault="00F26405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405" w:rsidRDefault="00722B27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-604520</wp:posOffset>
                </wp:positionV>
                <wp:extent cx="6629400" cy="11485245"/>
                <wp:effectExtent l="9525" t="7620" r="9525" b="13335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48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988" w:type="dxa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79"/>
                              <w:gridCol w:w="3779"/>
                              <w:gridCol w:w="850"/>
                              <w:gridCol w:w="851"/>
                              <w:gridCol w:w="709"/>
                              <w:gridCol w:w="851"/>
                              <w:gridCol w:w="642"/>
                              <w:gridCol w:w="827"/>
                            </w:tblGrid>
                            <w:tr w:rsidR="00E24854" w:rsidRPr="002A385D" w:rsidTr="001415FC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2A385D" w:rsidRDefault="00E24854" w:rsidP="002A385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2A385D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E24854" w:rsidRPr="002A385D" w:rsidRDefault="00E24854" w:rsidP="002A38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8000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8000"/>
                                      <w:sz w:val="20"/>
                                      <w:szCs w:val="20"/>
                                      <w:lang w:eastAsia="it-IT"/>
                                    </w:rPr>
                                    <w:t xml:space="preserve">UND </w:t>
                                  </w:r>
                                  <w:r w:rsidRPr="002A385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8000"/>
                                      <w:sz w:val="20"/>
                                      <w:szCs w:val="20"/>
                                      <w:lang w:eastAsia="it-IT"/>
                                    </w:rPr>
                                    <w:t>Categorie &gt; 5000 abitanti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2A385D" w:rsidRDefault="00E24854" w:rsidP="002A38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8000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2A385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8000"/>
                                      <w:sz w:val="20"/>
                                      <w:szCs w:val="20"/>
                                      <w:lang w:eastAsia="it-IT"/>
                                    </w:rPr>
                                    <w:t>Kc (sud)</w:t>
                                  </w:r>
                                </w:p>
                                <w:p w:rsidR="00E24854" w:rsidRPr="002A385D" w:rsidRDefault="00E24854" w:rsidP="002A385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2A385D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 </w:t>
                                  </w:r>
                                </w:p>
                                <w:p w:rsidR="00E24854" w:rsidRPr="002A385D" w:rsidRDefault="00E24854" w:rsidP="002A385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2A385D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2A385D" w:rsidRDefault="00E24854" w:rsidP="002A38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8000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2A385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8000"/>
                                      <w:sz w:val="20"/>
                                      <w:szCs w:val="20"/>
                                      <w:lang w:eastAsia="it-IT"/>
                                    </w:rPr>
                                    <w:t>K</w:t>
                                  </w:r>
                                  <w:r w:rsidR="00CC06D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8000"/>
                                      <w:sz w:val="20"/>
                                      <w:szCs w:val="20"/>
                                      <w:lang w:eastAsia="it-IT"/>
                                    </w:rPr>
                                    <w:t xml:space="preserve"> </w:t>
                                  </w:r>
                                  <w:r w:rsidRPr="002A385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8000"/>
                                      <w:sz w:val="20"/>
                                      <w:szCs w:val="20"/>
                                      <w:lang w:eastAsia="it-IT"/>
                                    </w:rPr>
                                    <w:t>d (sud)</w:t>
                                  </w:r>
                                </w:p>
                                <w:p w:rsidR="00E24854" w:rsidRPr="002A385D" w:rsidRDefault="00E24854" w:rsidP="002A385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2A385D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 </w:t>
                                  </w:r>
                                </w:p>
                                <w:p w:rsidR="00E24854" w:rsidRPr="002A385D" w:rsidRDefault="00E24854" w:rsidP="002A385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2A385D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24854" w:rsidRPr="002A385D" w:rsidTr="001415FC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2A385D" w:rsidRDefault="00E24854" w:rsidP="002A385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2A385D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2A385D" w:rsidRDefault="00E24854" w:rsidP="002A385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2A385D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2A385D" w:rsidRDefault="00CC06D6" w:rsidP="002A38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 xml:space="preserve">M i </w:t>
                                  </w:r>
                                  <w:r w:rsidR="00E24854" w:rsidRPr="002A385D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2A385D" w:rsidRDefault="00CC06D6" w:rsidP="002A38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 xml:space="preserve">M </w:t>
                                  </w:r>
                                  <w:r w:rsidR="00E24854" w:rsidRPr="002A385D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 xml:space="preserve"> </w:t>
                                  </w:r>
                                  <w:r w:rsidR="00E24854" w:rsidRPr="002A385D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08044C" w:rsidRDefault="00E24854" w:rsidP="002A38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08044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it-IT"/>
                                    </w:rPr>
                                    <w:t>Kc scelto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2A385D" w:rsidRDefault="00CC06D6" w:rsidP="002A38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 xml:space="preserve">M </w:t>
                                  </w:r>
                                  <w:r w:rsidR="00E24854" w:rsidRPr="002A385D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 xml:space="preserve"> </w:t>
                                  </w:r>
                                  <w:r w:rsidR="00E24854" w:rsidRPr="002A385D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2A385D" w:rsidRDefault="00CC06D6" w:rsidP="002A38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 xml:space="preserve">M </w:t>
                                  </w:r>
                                  <w:r w:rsidR="00E24854" w:rsidRPr="002A385D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 xml:space="preserve"> </w:t>
                                  </w:r>
                                  <w:r w:rsidR="00E24854" w:rsidRPr="002A385D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Default="00E24854" w:rsidP="002A38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it-IT"/>
                                    </w:rPr>
                                    <w:t>K</w:t>
                                  </w:r>
                                  <w:r w:rsidR="00CC06D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it-IT"/>
                                    </w:rPr>
                                    <w:t>d</w:t>
                                  </w:r>
                                </w:p>
                                <w:p w:rsidR="00E24854" w:rsidRPr="0008044C" w:rsidRDefault="00E24854" w:rsidP="002A38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08044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it-IT"/>
                                    </w:rPr>
                                    <w:t>scelto</w:t>
                                  </w:r>
                                </w:p>
                              </w:tc>
                            </w:tr>
                            <w:tr w:rsidR="00E24854" w:rsidRPr="00F26405" w:rsidTr="001415FC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24854" w:rsidRPr="000A55AD" w:rsidRDefault="00E24854" w:rsidP="002A385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0A55AD" w:rsidRDefault="00E24854" w:rsidP="002A385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Musei, biblioteche, scuole, associazioni, luoghi di culto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0,45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0,63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D92CE6" w:rsidRDefault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2C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0,63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2,00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8,25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AC3BF3" w:rsidRDefault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C3BF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7,50</w:t>
                                  </w:r>
                                </w:p>
                              </w:tc>
                            </w:tr>
                            <w:tr w:rsidR="00E24854" w:rsidRPr="00F26405" w:rsidTr="001415FC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24854" w:rsidRPr="000A55AD" w:rsidRDefault="00E24854" w:rsidP="002A385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0A55AD" w:rsidRDefault="00E24854" w:rsidP="002A385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Cinematografi e teatri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0,33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0,47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D92CE6" w:rsidRDefault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2C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0,47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1,45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6,18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AC3BF3" w:rsidRDefault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C3BF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5,50</w:t>
                                  </w:r>
                                </w:p>
                              </w:tc>
                            </w:tr>
                            <w:tr w:rsidR="00E24854" w:rsidRPr="00F26405" w:rsidTr="001415FC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24854" w:rsidRPr="000A55AD" w:rsidRDefault="00E24854" w:rsidP="002A385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0A55AD" w:rsidRDefault="00E24854" w:rsidP="002A385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Autorimesse e magazzini senza alcuna vendita diretta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0,36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0,44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D92CE6" w:rsidRDefault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2C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0,44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1,60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5,85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AC3BF3" w:rsidRDefault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C3BF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5,00</w:t>
                                  </w:r>
                                </w:p>
                              </w:tc>
                            </w:tr>
                            <w:tr w:rsidR="00E24854" w:rsidRPr="00F26405" w:rsidTr="001415FC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24854" w:rsidRPr="000A55AD" w:rsidRDefault="00E24854" w:rsidP="002A385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0A55AD" w:rsidRDefault="00E24854" w:rsidP="002A385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Campeggi, distributori carburanti, impianti sportivi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0,63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0,74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D92CE6" w:rsidRDefault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2C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0,63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2,77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9,83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AC3BF3" w:rsidRDefault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C3BF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8,00</w:t>
                                  </w:r>
                                </w:p>
                              </w:tc>
                            </w:tr>
                            <w:tr w:rsidR="00E24854" w:rsidRPr="00F26405" w:rsidTr="001415FC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24854" w:rsidRPr="000A55AD" w:rsidRDefault="00E24854" w:rsidP="002A385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0A55AD" w:rsidRDefault="00E24854" w:rsidP="002A385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Stabilimenti balneari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0,35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0,59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D92CE6" w:rsidRDefault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2C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0,35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3,10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5,20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AC3BF3" w:rsidRDefault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C3BF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2,50</w:t>
                                  </w:r>
                                </w:p>
                              </w:tc>
                            </w:tr>
                            <w:tr w:rsidR="00E24854" w:rsidRPr="00F26405" w:rsidTr="001415FC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24854" w:rsidRPr="000A55AD" w:rsidRDefault="00E24854" w:rsidP="002A385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0A55AD" w:rsidRDefault="00E24854" w:rsidP="002A385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Esposizioni, autosaloni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0,34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0,57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D92CE6" w:rsidRDefault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2C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0,57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1,52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7,56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AC3BF3" w:rsidRDefault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C3BF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6,55</w:t>
                                  </w:r>
                                </w:p>
                              </w:tc>
                            </w:tr>
                            <w:tr w:rsidR="00E24854" w:rsidRPr="00F26405" w:rsidTr="001415FC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24854" w:rsidRPr="000A55AD" w:rsidRDefault="00E24854" w:rsidP="002A385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0A55AD" w:rsidRDefault="00E24854" w:rsidP="002A385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Alberghi con ristorante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1,01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1,41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D92CE6" w:rsidRDefault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2C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1,41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8,92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12,45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AC3BF3" w:rsidRDefault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C3BF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11,50</w:t>
                                  </w:r>
                                </w:p>
                              </w:tc>
                            </w:tr>
                            <w:tr w:rsidR="00E24854" w:rsidRPr="00F26405" w:rsidTr="001415FC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24854" w:rsidRPr="000A55AD" w:rsidRDefault="00E24854" w:rsidP="002A385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0A55AD" w:rsidRDefault="00E24854" w:rsidP="002A385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Alberghi senza ristorante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0,85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1,08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D92CE6" w:rsidRDefault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2C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1,08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7,50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9,50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AC3BF3" w:rsidRDefault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C3BF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8,50</w:t>
                                  </w:r>
                                </w:p>
                              </w:tc>
                            </w:tr>
                            <w:tr w:rsidR="00E24854" w:rsidRPr="00F26405" w:rsidTr="001415FC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8.1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Bed and breakfast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0,34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0,57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D92CE6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2C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0,57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1,52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7,56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AC3BF3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C3BF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6,55</w:t>
                                  </w:r>
                                </w:p>
                              </w:tc>
                            </w:tr>
                            <w:tr w:rsidR="00E24854" w:rsidRPr="00F26405" w:rsidTr="001415FC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Case di cura e riposo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0,90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1,09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D92CE6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2C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0,90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3,95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14,43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AC3BF3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C3BF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10,50</w:t>
                                  </w:r>
                                </w:p>
                              </w:tc>
                            </w:tr>
                            <w:tr w:rsidR="00E24854" w:rsidRPr="00F26405" w:rsidTr="001415FC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Ospedali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0,86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1,43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D92CE6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2C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1,43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3,78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18,90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AC3BF3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C3BF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18,90</w:t>
                                  </w:r>
                                </w:p>
                              </w:tc>
                            </w:tr>
                            <w:tr w:rsidR="00E24854" w:rsidRPr="00F26405" w:rsidTr="001415FC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Uffici, agenzie, studi professionali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0,90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1,17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D92CE6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2C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3,95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15,45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AC3BF3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C3BF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13,20</w:t>
                                  </w:r>
                                </w:p>
                              </w:tc>
                            </w:tr>
                            <w:tr w:rsidR="00E24854" w:rsidRPr="00F26405" w:rsidTr="001415FC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Banche ed istituti di credito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0,48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0,79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D92CE6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2C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0,90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2,10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10,40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AC3BF3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C3BF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10,70</w:t>
                                  </w:r>
                                </w:p>
                              </w:tc>
                            </w:tr>
                            <w:tr w:rsidR="00E24854" w:rsidRPr="00F26405" w:rsidTr="001415FC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Negozi abbigliamento, calzature, libreria, cartoleria, ferramenta e altri beni durevoli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0,85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1,13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D92CE6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2C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7,50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9,90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AC3BF3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C3BF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9,00</w:t>
                                  </w:r>
                                </w:p>
                              </w:tc>
                            </w:tr>
                            <w:tr w:rsidR="00E24854" w:rsidRPr="00F26405" w:rsidTr="001415FC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Edicola, farmacia, tabaccaio, </w:t>
                                  </w:r>
                                  <w:r w:rsidR="00CC06D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plurilicenze</w:t>
                                  </w:r>
                                  <w:r w:rsidR="00CC06D6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1,01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1,50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D92CE6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2C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1,50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8,88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13,22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AC3BF3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C3BF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13,22</w:t>
                                  </w:r>
                                </w:p>
                              </w:tc>
                            </w:tr>
                            <w:tr w:rsidR="00E24854" w:rsidRPr="00F26405" w:rsidTr="001415FC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Negozi particolari quali filatelia, tende e tessuti, tappeti, cappelli e ombrelli, antiquariato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0,56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0,91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D92CE6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2C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0,91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4,90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8,00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AC3BF3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C3BF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8,00</w:t>
                                  </w:r>
                                </w:p>
                              </w:tc>
                            </w:tr>
                            <w:tr w:rsidR="00E24854" w:rsidRPr="00F26405" w:rsidTr="001415FC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Banchi di mercato beni durevoli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1,19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1,67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D92CE6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2C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1,19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10,45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14,69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AC3BF3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C3BF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10,45</w:t>
                                  </w:r>
                                </w:p>
                              </w:tc>
                            </w:tr>
                            <w:tr w:rsidR="00E24854" w:rsidRPr="00F26405" w:rsidTr="001415FC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Attività artigianali tipo botteghe: parrucchiere, barbiere, estetista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1,19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1,50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D92CE6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2C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1,50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10,45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13,21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AC3BF3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C3BF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13,21</w:t>
                                  </w:r>
                                </w:p>
                              </w:tc>
                            </w:tr>
                            <w:tr w:rsidR="00E24854" w:rsidRPr="00F26405" w:rsidTr="001415FC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Attività artigianali tipo botteghe: falegname, idraulico, fabbro, elettricista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0,77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1,04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D92CE6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2C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1,04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6,80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9,11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AC3BF3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C3BF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9,11</w:t>
                                  </w:r>
                                </w:p>
                              </w:tc>
                            </w:tr>
                            <w:tr w:rsidR="00E24854" w:rsidRPr="00F26405" w:rsidTr="001415FC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Carrozzeria, autofficina, elettrauto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0,91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1,38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D92CE6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2C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1,38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8,02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12,10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AC3BF3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C3BF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12,10</w:t>
                                  </w:r>
                                </w:p>
                              </w:tc>
                            </w:tr>
                            <w:tr w:rsidR="00E24854" w:rsidRPr="00F26405" w:rsidTr="001415FC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Attività industriali con capannoni di produzione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0,33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0,94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D92CE6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2C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0,94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2,90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8,25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AC3BF3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C3BF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10,72</w:t>
                                  </w:r>
                                </w:p>
                              </w:tc>
                            </w:tr>
                            <w:tr w:rsidR="00E24854" w:rsidRPr="00F26405" w:rsidTr="001415FC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Attività artigianali di produzione beni specifici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0,45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0,92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D92CE6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2C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0,92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8,11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AC3BF3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C3BF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8,11</w:t>
                                  </w:r>
                                </w:p>
                              </w:tc>
                            </w:tr>
                            <w:tr w:rsidR="00E24854" w:rsidRPr="00F26405" w:rsidTr="001415FC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Ristoranti, trattorie, osterie, pizzerie, pub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3,40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10,28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D92CE6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2C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3,40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29,93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90,50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AC3BF3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C3BF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14,97</w:t>
                                  </w:r>
                                </w:p>
                              </w:tc>
                            </w:tr>
                            <w:tr w:rsidR="00E24854" w:rsidRPr="00F26405" w:rsidTr="001415FC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Mense, birrerie, amburgherie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2,55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6,33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D92CE6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2C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2,55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22,40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55,70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AC3BF3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C3BF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22,40</w:t>
                                  </w:r>
                                </w:p>
                              </w:tc>
                            </w:tr>
                            <w:tr w:rsidR="00E24854" w:rsidRPr="00F26405" w:rsidTr="001415FC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Bar, caffè, pasticceria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2,56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7,36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D92CE6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2C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2,56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11,25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97,14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AC3BF3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C3BF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11,25</w:t>
                                  </w:r>
                                </w:p>
                              </w:tc>
                            </w:tr>
                            <w:tr w:rsidR="00E24854" w:rsidRPr="002A385D" w:rsidTr="001415FC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Supermercato, pane e pasta, macelleria, salumi e formaggi, generi alimentari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1,56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2,44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D92CE6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2C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1,76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6,85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32,25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AC3BF3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C3BF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22,50</w:t>
                                  </w:r>
                                </w:p>
                              </w:tc>
                            </w:tr>
                            <w:tr w:rsidR="00E24854" w:rsidRPr="002A385D" w:rsidTr="001415FC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Plurilicenze alimentari e/o miste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1,56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2,45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D92CE6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2C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1,56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13,77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21,55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AC3BF3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C3BF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13,77</w:t>
                                  </w:r>
                                </w:p>
                              </w:tc>
                            </w:tr>
                            <w:tr w:rsidR="00E24854" w:rsidRPr="002A385D" w:rsidTr="001415FC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Ortofrutta, pescherie, fiori e piante, pizza al taglio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4,42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11,24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D92CE6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2C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4,42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19,47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148,35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AC3BF3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C3BF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19,47</w:t>
                                  </w:r>
                                </w:p>
                              </w:tc>
                            </w:tr>
                            <w:tr w:rsidR="00E24854" w:rsidRPr="002A385D" w:rsidTr="001415FC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Ipermercati di generi misti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1,65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2,73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D92CE6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2C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1,75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7,27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35,97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AC3BF3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C3BF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21,75</w:t>
                                  </w:r>
                                </w:p>
                              </w:tc>
                            </w:tr>
                            <w:tr w:rsidR="00E24854" w:rsidRPr="002A385D" w:rsidTr="001415FC">
                              <w:trPr>
                                <w:trHeight w:val="375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Banchi di mercato generi alimentari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3,35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8,24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D92CE6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2C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3,35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14,75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108,83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AC3BF3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C3BF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14,75</w:t>
                                  </w:r>
                                </w:p>
                              </w:tc>
                            </w:tr>
                            <w:tr w:rsidR="00E24854" w:rsidRPr="002A385D" w:rsidTr="00E24854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24854" w:rsidRPr="000A55AD" w:rsidRDefault="00E24854" w:rsidP="00E2485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0A55AD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lang w:eastAsia="it-IT"/>
                                    </w:rPr>
                                    <w:t>Discoteche, night club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0,77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1415F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415F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1,91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D92CE6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2C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0,77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6,80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24854" w:rsidRPr="00E341AC" w:rsidRDefault="00E24854" w:rsidP="00E24854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E341A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16,80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24854" w:rsidRPr="00AC3BF3" w:rsidRDefault="00E24854" w:rsidP="00E248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C3BF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6,80</w:t>
                                  </w:r>
                                </w:p>
                              </w:tc>
                            </w:tr>
                          </w:tbl>
                          <w:p w:rsidR="00E24854" w:rsidRDefault="00E248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left:0;text-align:left;margin-left:-2.7pt;margin-top:-47.6pt;width:522pt;height:90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">
                <v:textbox>
                  <w:txbxContent>
                    <w:tbl>
                      <w:tblPr>
                        <w:tblW w:w="8988" w:type="dxa"/>
                        <w:jc w:val="center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79"/>
                        <w:gridCol w:w="3779"/>
                        <w:gridCol w:w="850"/>
                        <w:gridCol w:w="851"/>
                        <w:gridCol w:w="709"/>
                        <w:gridCol w:w="851"/>
                        <w:gridCol w:w="642"/>
                        <w:gridCol w:w="827"/>
                      </w:tblGrid>
                      <w:tr w:rsidR="00E24854" w:rsidRPr="002A385D" w:rsidTr="001415FC">
                        <w:trPr>
                          <w:trHeight w:val="255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2A385D" w:rsidRDefault="00E24854" w:rsidP="002A385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2A385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E24854" w:rsidRPr="002A385D" w:rsidRDefault="00E24854" w:rsidP="002A38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0"/>
                                <w:szCs w:val="20"/>
                                <w:lang w:eastAsia="it-IT"/>
                              </w:rPr>
                              <w:t xml:space="preserve">UND </w:t>
                            </w:r>
                            <w:r w:rsidRPr="002A385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0"/>
                                <w:szCs w:val="20"/>
                                <w:lang w:eastAsia="it-IT"/>
                              </w:rPr>
                              <w:t>Categorie &gt; 5000 abitanti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2A385D" w:rsidRDefault="00E24854" w:rsidP="002A38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2A385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0"/>
                                <w:szCs w:val="20"/>
                                <w:lang w:eastAsia="it-IT"/>
                              </w:rPr>
                              <w:t>Kc (sud)</w:t>
                            </w:r>
                          </w:p>
                          <w:p w:rsidR="00E24854" w:rsidRPr="002A385D" w:rsidRDefault="00E24854" w:rsidP="002A385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2A385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 </w:t>
                            </w:r>
                          </w:p>
                          <w:p w:rsidR="00E24854" w:rsidRPr="002A385D" w:rsidRDefault="00E24854" w:rsidP="002A385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2A385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320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2A385D" w:rsidRDefault="00E24854" w:rsidP="002A38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2A385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0"/>
                                <w:szCs w:val="20"/>
                                <w:lang w:eastAsia="it-IT"/>
                              </w:rPr>
                              <w:t>K</w:t>
                            </w:r>
                            <w:r w:rsidR="00CC06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 w:rsidRPr="002A385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0"/>
                                <w:szCs w:val="20"/>
                                <w:lang w:eastAsia="it-IT"/>
                              </w:rPr>
                              <w:t>d (sud)</w:t>
                            </w:r>
                          </w:p>
                          <w:p w:rsidR="00E24854" w:rsidRPr="002A385D" w:rsidRDefault="00E24854" w:rsidP="002A385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2A385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 </w:t>
                            </w:r>
                          </w:p>
                          <w:p w:rsidR="00E24854" w:rsidRPr="002A385D" w:rsidRDefault="00E24854" w:rsidP="002A385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2A385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 </w:t>
                            </w:r>
                          </w:p>
                        </w:tc>
                      </w:tr>
                      <w:tr w:rsidR="00E24854" w:rsidRPr="002A385D" w:rsidTr="001415FC">
                        <w:trPr>
                          <w:trHeight w:val="255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2A385D" w:rsidRDefault="00E24854" w:rsidP="002A385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2A385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2A385D" w:rsidRDefault="00E24854" w:rsidP="002A385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2A385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2A385D" w:rsidRDefault="00CC06D6" w:rsidP="002A38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M i </w:t>
                            </w:r>
                            <w:r w:rsidR="00E24854" w:rsidRPr="002A385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2A385D" w:rsidRDefault="00CC06D6" w:rsidP="002A38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M </w:t>
                            </w:r>
                            <w:r w:rsidR="00E24854" w:rsidRPr="002A385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 w:rsidR="00E24854" w:rsidRPr="002A385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08044C" w:rsidRDefault="00E24854" w:rsidP="002A38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08044C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Kc scelto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2A385D" w:rsidRDefault="00CC06D6" w:rsidP="002A38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M </w:t>
                            </w:r>
                            <w:r w:rsidR="00E24854" w:rsidRPr="002A385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 w:rsidR="00E24854" w:rsidRPr="002A385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2A385D" w:rsidRDefault="00CC06D6" w:rsidP="002A38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M </w:t>
                            </w:r>
                            <w:r w:rsidR="00E24854" w:rsidRPr="002A385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 w:rsidR="00E24854" w:rsidRPr="002A385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Default="00E24854" w:rsidP="002A38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K</w:t>
                            </w:r>
                            <w:r w:rsidR="00CC06D6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d</w:t>
                            </w:r>
                          </w:p>
                          <w:p w:rsidR="00E24854" w:rsidRPr="0008044C" w:rsidRDefault="00E24854" w:rsidP="002A38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08044C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scelto</w:t>
                            </w:r>
                          </w:p>
                        </w:tc>
                      </w:tr>
                      <w:tr w:rsidR="00E24854" w:rsidRPr="00F26405" w:rsidTr="001415FC">
                        <w:trPr>
                          <w:trHeight w:val="255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24854" w:rsidRPr="000A55AD" w:rsidRDefault="00E24854" w:rsidP="002A385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0A55AD" w:rsidRDefault="00E24854" w:rsidP="002A385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Musei, biblioteche, scuole, associazioni, luoghi di culto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0,45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0,63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D92CE6" w:rsidRDefault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2CE6">
                              <w:rPr>
                                <w:b/>
                                <w:sz w:val="16"/>
                                <w:szCs w:val="16"/>
                              </w:rPr>
                              <w:t>0,63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2,00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8,25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AC3BF3" w:rsidRDefault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BF3">
                              <w:rPr>
                                <w:b/>
                                <w:sz w:val="16"/>
                                <w:szCs w:val="16"/>
                              </w:rPr>
                              <w:t>7,50</w:t>
                            </w:r>
                          </w:p>
                        </w:tc>
                      </w:tr>
                      <w:tr w:rsidR="00E24854" w:rsidRPr="00F26405" w:rsidTr="001415FC">
                        <w:trPr>
                          <w:trHeight w:val="255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24854" w:rsidRPr="000A55AD" w:rsidRDefault="00E24854" w:rsidP="002A385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0A55AD" w:rsidRDefault="00E24854" w:rsidP="002A385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Cinematografi e teatri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0,33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0,47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D92CE6" w:rsidRDefault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2CE6">
                              <w:rPr>
                                <w:b/>
                                <w:sz w:val="16"/>
                                <w:szCs w:val="16"/>
                              </w:rPr>
                              <w:t>0,47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1,45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6,18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AC3BF3" w:rsidRDefault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BF3">
                              <w:rPr>
                                <w:b/>
                                <w:sz w:val="16"/>
                                <w:szCs w:val="16"/>
                              </w:rPr>
                              <w:t>5,50</w:t>
                            </w:r>
                          </w:p>
                        </w:tc>
                      </w:tr>
                      <w:tr w:rsidR="00E24854" w:rsidRPr="00F26405" w:rsidTr="001415FC">
                        <w:trPr>
                          <w:trHeight w:val="255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24854" w:rsidRPr="000A55AD" w:rsidRDefault="00E24854" w:rsidP="002A385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0A55AD" w:rsidRDefault="00E24854" w:rsidP="002A385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Autorimesse e magazzini senza alcuna vendita diretta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0,36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0,44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D92CE6" w:rsidRDefault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2CE6">
                              <w:rPr>
                                <w:b/>
                                <w:sz w:val="16"/>
                                <w:szCs w:val="16"/>
                              </w:rPr>
                              <w:t>0,44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1,60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5,85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AC3BF3" w:rsidRDefault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BF3">
                              <w:rPr>
                                <w:b/>
                                <w:sz w:val="16"/>
                                <w:szCs w:val="16"/>
                              </w:rPr>
                              <w:t>5,00</w:t>
                            </w:r>
                          </w:p>
                        </w:tc>
                      </w:tr>
                      <w:tr w:rsidR="00E24854" w:rsidRPr="00F26405" w:rsidTr="001415FC">
                        <w:trPr>
                          <w:trHeight w:val="255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24854" w:rsidRPr="000A55AD" w:rsidRDefault="00E24854" w:rsidP="002A385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0A55AD" w:rsidRDefault="00E24854" w:rsidP="002A385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Campeggi, distributori carburanti, impianti sportivi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0,63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0,74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D92CE6" w:rsidRDefault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2CE6">
                              <w:rPr>
                                <w:b/>
                                <w:sz w:val="16"/>
                                <w:szCs w:val="16"/>
                              </w:rPr>
                              <w:t>0,63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2,77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9,83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AC3BF3" w:rsidRDefault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BF3">
                              <w:rPr>
                                <w:b/>
                                <w:sz w:val="16"/>
                                <w:szCs w:val="16"/>
                              </w:rPr>
                              <w:t>8,00</w:t>
                            </w:r>
                          </w:p>
                        </w:tc>
                      </w:tr>
                      <w:tr w:rsidR="00E24854" w:rsidRPr="00F26405" w:rsidTr="001415FC">
                        <w:trPr>
                          <w:trHeight w:val="255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24854" w:rsidRPr="000A55AD" w:rsidRDefault="00E24854" w:rsidP="002A385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0A55AD" w:rsidRDefault="00E24854" w:rsidP="002A385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Stabilimenti balneari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0,35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0,59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D92CE6" w:rsidRDefault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2CE6">
                              <w:rPr>
                                <w:b/>
                                <w:sz w:val="16"/>
                                <w:szCs w:val="16"/>
                              </w:rPr>
                              <w:t>0,35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3,10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5,20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AC3BF3" w:rsidRDefault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BF3">
                              <w:rPr>
                                <w:b/>
                                <w:sz w:val="16"/>
                                <w:szCs w:val="16"/>
                              </w:rPr>
                              <w:t>2,50</w:t>
                            </w:r>
                          </w:p>
                        </w:tc>
                      </w:tr>
                      <w:tr w:rsidR="00E24854" w:rsidRPr="00F26405" w:rsidTr="001415FC">
                        <w:trPr>
                          <w:trHeight w:val="255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24854" w:rsidRPr="000A55AD" w:rsidRDefault="00E24854" w:rsidP="002A385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0A55AD" w:rsidRDefault="00E24854" w:rsidP="002A385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Esposizioni, autosaloni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0,34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0,57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D92CE6" w:rsidRDefault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2CE6">
                              <w:rPr>
                                <w:b/>
                                <w:sz w:val="16"/>
                                <w:szCs w:val="16"/>
                              </w:rPr>
                              <w:t>0,57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1,52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7,56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AC3BF3" w:rsidRDefault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BF3">
                              <w:rPr>
                                <w:b/>
                                <w:sz w:val="16"/>
                                <w:szCs w:val="16"/>
                              </w:rPr>
                              <w:t>6,55</w:t>
                            </w:r>
                          </w:p>
                        </w:tc>
                      </w:tr>
                      <w:tr w:rsidR="00E24854" w:rsidRPr="00F26405" w:rsidTr="001415FC">
                        <w:trPr>
                          <w:trHeight w:val="255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24854" w:rsidRPr="000A55AD" w:rsidRDefault="00E24854" w:rsidP="002A385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0A55AD" w:rsidRDefault="00E24854" w:rsidP="002A385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Alberghi con ristorante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1,01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1,41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D92CE6" w:rsidRDefault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2CE6">
                              <w:rPr>
                                <w:b/>
                                <w:sz w:val="16"/>
                                <w:szCs w:val="16"/>
                              </w:rPr>
                              <w:t>1,41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8,92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12,45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AC3BF3" w:rsidRDefault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BF3">
                              <w:rPr>
                                <w:b/>
                                <w:sz w:val="16"/>
                                <w:szCs w:val="16"/>
                              </w:rPr>
                              <w:t>11,50</w:t>
                            </w:r>
                          </w:p>
                        </w:tc>
                      </w:tr>
                      <w:tr w:rsidR="00E24854" w:rsidRPr="00F26405" w:rsidTr="001415FC">
                        <w:trPr>
                          <w:trHeight w:val="255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24854" w:rsidRPr="000A55AD" w:rsidRDefault="00E24854" w:rsidP="002A385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0A55AD" w:rsidRDefault="00E24854" w:rsidP="002A385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Alberghi senza ristorante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0,85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1,08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D92CE6" w:rsidRDefault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2CE6">
                              <w:rPr>
                                <w:b/>
                                <w:sz w:val="16"/>
                                <w:szCs w:val="16"/>
                              </w:rPr>
                              <w:t>1,08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7,50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9,50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AC3BF3" w:rsidRDefault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BF3">
                              <w:rPr>
                                <w:b/>
                                <w:sz w:val="16"/>
                                <w:szCs w:val="16"/>
                              </w:rPr>
                              <w:t>8,50</w:t>
                            </w:r>
                          </w:p>
                        </w:tc>
                      </w:tr>
                      <w:tr w:rsidR="00E24854" w:rsidRPr="00F26405" w:rsidTr="001415FC">
                        <w:trPr>
                          <w:trHeight w:val="255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8.1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Bed and breakfast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0,34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0,57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D92CE6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2CE6">
                              <w:rPr>
                                <w:b/>
                                <w:sz w:val="16"/>
                                <w:szCs w:val="16"/>
                              </w:rPr>
                              <w:t>0,57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1,52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7,56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AC3BF3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BF3">
                              <w:rPr>
                                <w:b/>
                                <w:sz w:val="16"/>
                                <w:szCs w:val="16"/>
                              </w:rPr>
                              <w:t>6,55</w:t>
                            </w:r>
                          </w:p>
                        </w:tc>
                      </w:tr>
                      <w:tr w:rsidR="00E24854" w:rsidRPr="00F26405" w:rsidTr="001415FC">
                        <w:trPr>
                          <w:trHeight w:val="255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Case di cura e riposo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0,90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1,09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D92CE6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2CE6">
                              <w:rPr>
                                <w:b/>
                                <w:sz w:val="16"/>
                                <w:szCs w:val="16"/>
                              </w:rPr>
                              <w:t>0,90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3,95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14,43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AC3BF3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BF3">
                              <w:rPr>
                                <w:b/>
                                <w:sz w:val="16"/>
                                <w:szCs w:val="16"/>
                              </w:rPr>
                              <w:t>10,50</w:t>
                            </w:r>
                          </w:p>
                        </w:tc>
                      </w:tr>
                      <w:tr w:rsidR="00E24854" w:rsidRPr="00F26405" w:rsidTr="001415FC">
                        <w:trPr>
                          <w:trHeight w:val="255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Ospedali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0,86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1,43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D92CE6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2CE6">
                              <w:rPr>
                                <w:b/>
                                <w:sz w:val="16"/>
                                <w:szCs w:val="16"/>
                              </w:rPr>
                              <w:t>1,43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3,78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18,90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AC3BF3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BF3">
                              <w:rPr>
                                <w:b/>
                                <w:sz w:val="16"/>
                                <w:szCs w:val="16"/>
                              </w:rPr>
                              <w:t>18,90</w:t>
                            </w:r>
                          </w:p>
                        </w:tc>
                      </w:tr>
                      <w:tr w:rsidR="00E24854" w:rsidRPr="00F26405" w:rsidTr="001415FC">
                        <w:trPr>
                          <w:trHeight w:val="255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Uffici, agenzie, studi professionali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0,90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1,17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D92CE6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2CE6">
                              <w:rPr>
                                <w:b/>
                                <w:sz w:val="16"/>
                                <w:szCs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3,95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15,45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AC3BF3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BF3">
                              <w:rPr>
                                <w:b/>
                                <w:sz w:val="16"/>
                                <w:szCs w:val="16"/>
                              </w:rPr>
                              <w:t>13,20</w:t>
                            </w:r>
                          </w:p>
                        </w:tc>
                      </w:tr>
                      <w:tr w:rsidR="00E24854" w:rsidRPr="00F26405" w:rsidTr="001415FC">
                        <w:trPr>
                          <w:trHeight w:val="510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Banche ed istituti di credito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0,48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0,79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D92CE6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2CE6">
                              <w:rPr>
                                <w:b/>
                                <w:sz w:val="16"/>
                                <w:szCs w:val="16"/>
                              </w:rPr>
                              <w:t>0,90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2,10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10,40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AC3BF3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BF3">
                              <w:rPr>
                                <w:b/>
                                <w:sz w:val="16"/>
                                <w:szCs w:val="16"/>
                              </w:rPr>
                              <w:t>10,70</w:t>
                            </w:r>
                          </w:p>
                        </w:tc>
                      </w:tr>
                      <w:tr w:rsidR="00E24854" w:rsidRPr="00F26405" w:rsidTr="001415FC">
                        <w:trPr>
                          <w:trHeight w:val="255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Negozi abbigliamento, calzature, libreria, cartoleria, ferramenta e altri beni durevoli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0,85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1,13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D92CE6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2CE6">
                              <w:rPr>
                                <w:b/>
                                <w:sz w:val="16"/>
                                <w:szCs w:val="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7,50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9,90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AC3BF3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BF3">
                              <w:rPr>
                                <w:b/>
                                <w:sz w:val="16"/>
                                <w:szCs w:val="16"/>
                              </w:rPr>
                              <w:t>9,00</w:t>
                            </w:r>
                          </w:p>
                        </w:tc>
                      </w:tr>
                      <w:tr w:rsidR="00E24854" w:rsidRPr="00F26405" w:rsidTr="001415FC">
                        <w:trPr>
                          <w:trHeight w:val="510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 xml:space="preserve">Edicola, farmacia, tabaccaio, </w:t>
                            </w:r>
                            <w:r w:rsidR="00CC06D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plurilicenze</w:t>
                            </w:r>
                            <w:r w:rsidR="00CC06D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1,01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1,50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D92CE6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2CE6">
                              <w:rPr>
                                <w:b/>
                                <w:sz w:val="16"/>
                                <w:szCs w:val="16"/>
                              </w:rPr>
                              <w:t>1,50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8,88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13,22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AC3BF3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BF3">
                              <w:rPr>
                                <w:b/>
                                <w:sz w:val="16"/>
                                <w:szCs w:val="16"/>
                              </w:rPr>
                              <w:t>13,22</w:t>
                            </w:r>
                          </w:p>
                        </w:tc>
                      </w:tr>
                      <w:tr w:rsidR="00E24854" w:rsidRPr="00F26405" w:rsidTr="001415FC">
                        <w:trPr>
                          <w:trHeight w:val="255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Negozi particolari quali filatelia, tende e tessuti, tappeti, cappelli e ombrelli, antiquariato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0,56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0,91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D92CE6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2CE6">
                              <w:rPr>
                                <w:b/>
                                <w:sz w:val="16"/>
                                <w:szCs w:val="16"/>
                              </w:rPr>
                              <w:t>0,91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4,90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8,00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AC3BF3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BF3">
                              <w:rPr>
                                <w:b/>
                                <w:sz w:val="16"/>
                                <w:szCs w:val="16"/>
                              </w:rPr>
                              <w:t>8,00</w:t>
                            </w:r>
                          </w:p>
                        </w:tc>
                      </w:tr>
                      <w:tr w:rsidR="00E24854" w:rsidRPr="00F26405" w:rsidTr="001415FC">
                        <w:trPr>
                          <w:trHeight w:val="510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Banchi di mercato beni durevoli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1,19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1,67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D92CE6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2CE6">
                              <w:rPr>
                                <w:b/>
                                <w:sz w:val="16"/>
                                <w:szCs w:val="16"/>
                              </w:rPr>
                              <w:t>1,19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10,45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14,69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AC3BF3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BF3">
                              <w:rPr>
                                <w:b/>
                                <w:sz w:val="16"/>
                                <w:szCs w:val="16"/>
                              </w:rPr>
                              <w:t>10,45</w:t>
                            </w:r>
                          </w:p>
                        </w:tc>
                      </w:tr>
                      <w:tr w:rsidR="00E24854" w:rsidRPr="00F26405" w:rsidTr="001415FC">
                        <w:trPr>
                          <w:trHeight w:val="510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Attività artigianali tipo botteghe: parrucchiere, barbiere, estetista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1,19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1,50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D92CE6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2CE6">
                              <w:rPr>
                                <w:b/>
                                <w:sz w:val="16"/>
                                <w:szCs w:val="16"/>
                              </w:rPr>
                              <w:t>1,50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10,45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13,21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AC3BF3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BF3">
                              <w:rPr>
                                <w:b/>
                                <w:sz w:val="16"/>
                                <w:szCs w:val="16"/>
                              </w:rPr>
                              <w:t>13,21</w:t>
                            </w:r>
                          </w:p>
                        </w:tc>
                      </w:tr>
                      <w:tr w:rsidR="00E24854" w:rsidRPr="00F26405" w:rsidTr="001415FC">
                        <w:trPr>
                          <w:trHeight w:val="255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Attività artigianali tipo botteghe: falegname, idraulico, fabbro, elettricista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0,77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1,04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D92CE6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2CE6">
                              <w:rPr>
                                <w:b/>
                                <w:sz w:val="16"/>
                                <w:szCs w:val="16"/>
                              </w:rPr>
                              <w:t>1,04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6,80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9,11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AC3BF3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BF3">
                              <w:rPr>
                                <w:b/>
                                <w:sz w:val="16"/>
                                <w:szCs w:val="16"/>
                              </w:rPr>
                              <w:t>9,11</w:t>
                            </w:r>
                          </w:p>
                        </w:tc>
                      </w:tr>
                      <w:tr w:rsidR="00E24854" w:rsidRPr="00F26405" w:rsidTr="001415FC">
                        <w:trPr>
                          <w:trHeight w:val="255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Carrozzeria, autofficina, elettrauto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0,91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1,38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D92CE6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2CE6">
                              <w:rPr>
                                <w:b/>
                                <w:sz w:val="16"/>
                                <w:szCs w:val="16"/>
                              </w:rPr>
                              <w:t>1,38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8,02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12,10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AC3BF3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BF3">
                              <w:rPr>
                                <w:b/>
                                <w:sz w:val="16"/>
                                <w:szCs w:val="16"/>
                              </w:rPr>
                              <w:t>12,10</w:t>
                            </w:r>
                          </w:p>
                        </w:tc>
                      </w:tr>
                      <w:tr w:rsidR="00E24854" w:rsidRPr="00F26405" w:rsidTr="001415FC">
                        <w:trPr>
                          <w:trHeight w:val="255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Attività industriali con capannoni di produzione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0,33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0,94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D92CE6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2CE6">
                              <w:rPr>
                                <w:b/>
                                <w:sz w:val="16"/>
                                <w:szCs w:val="16"/>
                              </w:rPr>
                              <w:t>0,94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2,90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8,25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AC3BF3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BF3">
                              <w:rPr>
                                <w:b/>
                                <w:sz w:val="16"/>
                                <w:szCs w:val="16"/>
                              </w:rPr>
                              <w:t>10,72</w:t>
                            </w:r>
                          </w:p>
                        </w:tc>
                      </w:tr>
                      <w:tr w:rsidR="00E24854" w:rsidRPr="00F26405" w:rsidTr="001415FC">
                        <w:trPr>
                          <w:trHeight w:val="255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Attività artigianali di produzione beni specifici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0,45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0,92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D92CE6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2CE6">
                              <w:rPr>
                                <w:b/>
                                <w:sz w:val="16"/>
                                <w:szCs w:val="16"/>
                              </w:rPr>
                              <w:t>0,92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8,11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AC3BF3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BF3">
                              <w:rPr>
                                <w:b/>
                                <w:sz w:val="16"/>
                                <w:szCs w:val="16"/>
                              </w:rPr>
                              <w:t>8,11</w:t>
                            </w:r>
                          </w:p>
                        </w:tc>
                      </w:tr>
                      <w:tr w:rsidR="00E24854" w:rsidRPr="00F26405" w:rsidTr="001415FC">
                        <w:trPr>
                          <w:trHeight w:val="255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Ristoranti, trattorie, osterie, pizzerie, pub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3,40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10,28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D92CE6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2CE6">
                              <w:rPr>
                                <w:b/>
                                <w:sz w:val="16"/>
                                <w:szCs w:val="16"/>
                              </w:rPr>
                              <w:t>3,40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29,93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90,50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AC3BF3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BF3">
                              <w:rPr>
                                <w:b/>
                                <w:sz w:val="16"/>
                                <w:szCs w:val="16"/>
                              </w:rPr>
                              <w:t>14,97</w:t>
                            </w:r>
                          </w:p>
                        </w:tc>
                      </w:tr>
                      <w:tr w:rsidR="00E24854" w:rsidRPr="00F26405" w:rsidTr="001415FC">
                        <w:trPr>
                          <w:trHeight w:val="255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Mense, birrerie, amburgherie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2,55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6,33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D92CE6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2CE6">
                              <w:rPr>
                                <w:b/>
                                <w:sz w:val="16"/>
                                <w:szCs w:val="16"/>
                              </w:rPr>
                              <w:t>2,55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22,40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55,70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AC3BF3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BF3">
                              <w:rPr>
                                <w:b/>
                                <w:sz w:val="16"/>
                                <w:szCs w:val="16"/>
                              </w:rPr>
                              <w:t>22,40</w:t>
                            </w:r>
                          </w:p>
                        </w:tc>
                      </w:tr>
                      <w:tr w:rsidR="00E24854" w:rsidRPr="00F26405" w:rsidTr="001415FC">
                        <w:trPr>
                          <w:trHeight w:val="510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Bar, caffè, pasticceria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2,56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7,36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D92CE6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2CE6">
                              <w:rPr>
                                <w:b/>
                                <w:sz w:val="16"/>
                                <w:szCs w:val="16"/>
                              </w:rPr>
                              <w:t>2,56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11,25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97,14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AC3BF3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BF3">
                              <w:rPr>
                                <w:b/>
                                <w:sz w:val="16"/>
                                <w:szCs w:val="16"/>
                              </w:rPr>
                              <w:t>11,25</w:t>
                            </w:r>
                          </w:p>
                        </w:tc>
                      </w:tr>
                      <w:tr w:rsidR="00E24854" w:rsidRPr="002A385D" w:rsidTr="001415FC">
                        <w:trPr>
                          <w:trHeight w:val="255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Supermercato, pane e pasta, macelleria, salumi e formaggi, generi alimentari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1,56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2,44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D92CE6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2CE6">
                              <w:rPr>
                                <w:b/>
                                <w:sz w:val="16"/>
                                <w:szCs w:val="16"/>
                              </w:rPr>
                              <w:t>1,76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6,85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32,25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AC3BF3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BF3">
                              <w:rPr>
                                <w:b/>
                                <w:sz w:val="16"/>
                                <w:szCs w:val="16"/>
                              </w:rPr>
                              <w:t>22,50</w:t>
                            </w:r>
                          </w:p>
                        </w:tc>
                      </w:tr>
                      <w:tr w:rsidR="00E24854" w:rsidRPr="002A385D" w:rsidTr="001415FC">
                        <w:trPr>
                          <w:trHeight w:val="255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Plurilicenze alimentari e/o miste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1,56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2,45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D92CE6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2CE6">
                              <w:rPr>
                                <w:b/>
                                <w:sz w:val="16"/>
                                <w:szCs w:val="16"/>
                              </w:rPr>
                              <w:t>1,56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13,77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21,55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AC3BF3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BF3">
                              <w:rPr>
                                <w:b/>
                                <w:sz w:val="16"/>
                                <w:szCs w:val="16"/>
                              </w:rPr>
                              <w:t>13,77</w:t>
                            </w:r>
                          </w:p>
                        </w:tc>
                      </w:tr>
                      <w:tr w:rsidR="00E24854" w:rsidRPr="002A385D" w:rsidTr="001415FC">
                        <w:trPr>
                          <w:trHeight w:val="255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Ortofrutta, pescherie, fiori e piante, pizza al taglio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4,42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11,24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D92CE6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2CE6">
                              <w:rPr>
                                <w:b/>
                                <w:sz w:val="16"/>
                                <w:szCs w:val="16"/>
                              </w:rPr>
                              <w:t>4,42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19,47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148,35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AC3BF3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BF3">
                              <w:rPr>
                                <w:b/>
                                <w:sz w:val="16"/>
                                <w:szCs w:val="16"/>
                              </w:rPr>
                              <w:t>19,47</w:t>
                            </w:r>
                          </w:p>
                        </w:tc>
                      </w:tr>
                      <w:tr w:rsidR="00E24854" w:rsidRPr="002A385D" w:rsidTr="001415FC">
                        <w:trPr>
                          <w:trHeight w:val="255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Ipermercati di generi misti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1,65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2,73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D92CE6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2CE6">
                              <w:rPr>
                                <w:b/>
                                <w:sz w:val="16"/>
                                <w:szCs w:val="16"/>
                              </w:rPr>
                              <w:t>1,75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7,27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35,97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AC3BF3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BF3">
                              <w:rPr>
                                <w:b/>
                                <w:sz w:val="16"/>
                                <w:szCs w:val="16"/>
                              </w:rPr>
                              <w:t>21,75</w:t>
                            </w:r>
                          </w:p>
                        </w:tc>
                      </w:tr>
                      <w:tr w:rsidR="00E24854" w:rsidRPr="002A385D" w:rsidTr="001415FC">
                        <w:trPr>
                          <w:trHeight w:val="375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Banchi di mercato generi alimentari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3,35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8,24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D92CE6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2CE6">
                              <w:rPr>
                                <w:b/>
                                <w:sz w:val="16"/>
                                <w:szCs w:val="16"/>
                              </w:rPr>
                              <w:t>3,35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14,75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108,83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AC3BF3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BF3">
                              <w:rPr>
                                <w:b/>
                                <w:sz w:val="16"/>
                                <w:szCs w:val="16"/>
                              </w:rPr>
                              <w:t>14,75</w:t>
                            </w:r>
                          </w:p>
                        </w:tc>
                      </w:tr>
                      <w:tr w:rsidR="00E24854" w:rsidRPr="002A385D" w:rsidTr="00E24854">
                        <w:trPr>
                          <w:trHeight w:val="255"/>
                          <w:jc w:val="center"/>
                        </w:trPr>
                        <w:tc>
                          <w:tcPr>
                            <w:tcW w:w="4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24854" w:rsidRPr="000A55AD" w:rsidRDefault="00E24854" w:rsidP="00E248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A55A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it-IT"/>
                              </w:rPr>
                              <w:t>Discoteche, night club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0,77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1415F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415F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1,91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D92CE6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2CE6">
                              <w:rPr>
                                <w:b/>
                                <w:sz w:val="16"/>
                                <w:szCs w:val="16"/>
                              </w:rPr>
                              <w:t>0,77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6,80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24854" w:rsidRPr="00E341AC" w:rsidRDefault="00E24854" w:rsidP="00E248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34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16,80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24854" w:rsidRPr="00AC3BF3" w:rsidRDefault="00E24854" w:rsidP="00E2485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BF3">
                              <w:rPr>
                                <w:b/>
                                <w:sz w:val="16"/>
                                <w:szCs w:val="16"/>
                              </w:rPr>
                              <w:t>6,80</w:t>
                            </w:r>
                          </w:p>
                        </w:tc>
                      </w:tr>
                    </w:tbl>
                    <w:p w:rsidR="00E24854" w:rsidRDefault="00E24854"/>
                  </w:txbxContent>
                </v:textbox>
              </v:shape>
            </w:pict>
          </mc:Fallback>
        </mc:AlternateContent>
      </w:r>
    </w:p>
    <w:p w:rsidR="00F26405" w:rsidRDefault="00F26405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405" w:rsidRDefault="00F26405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405" w:rsidRDefault="00F26405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405" w:rsidRPr="00181666" w:rsidRDefault="00F26405" w:rsidP="0043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85D" w:rsidRDefault="002A385D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85D" w:rsidRDefault="002A385D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85D" w:rsidRDefault="002A385D" w:rsidP="00115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385D" w:rsidRDefault="002A385D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85D" w:rsidRDefault="002A385D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85D" w:rsidRDefault="002A385D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85D" w:rsidRDefault="002A385D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85D" w:rsidRDefault="002A385D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85D" w:rsidRDefault="002A385D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85D" w:rsidRDefault="002A385D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85D" w:rsidRDefault="002A385D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85D" w:rsidRDefault="002A385D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85D" w:rsidRDefault="002A385D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85D" w:rsidRDefault="002A385D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85D" w:rsidRDefault="002A385D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85D" w:rsidRDefault="002A385D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85D" w:rsidRDefault="002A385D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D3B" w:rsidRDefault="00115D3B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D3B" w:rsidRDefault="00115D3B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D3B" w:rsidRDefault="00115D3B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D3B" w:rsidRDefault="00115D3B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D3B" w:rsidRDefault="00115D3B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D3B" w:rsidRDefault="00115D3B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D3B" w:rsidRDefault="00115D3B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D3B" w:rsidRDefault="00115D3B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D3B" w:rsidRDefault="00115D3B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D3B" w:rsidRDefault="00115D3B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D3B" w:rsidRDefault="00115D3B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D3B" w:rsidRDefault="00115D3B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D3B" w:rsidRDefault="00115D3B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D3B" w:rsidRDefault="00115D3B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D3B" w:rsidRDefault="00115D3B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D3B" w:rsidRDefault="00115D3B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D3B" w:rsidRDefault="00115D3B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D3B" w:rsidRDefault="00115D3B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D3B" w:rsidRDefault="00115D3B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D3B" w:rsidRDefault="00115D3B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85D" w:rsidRDefault="002A385D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85D" w:rsidRDefault="002A385D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85D" w:rsidRDefault="002A385D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85D" w:rsidRDefault="002A385D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85D" w:rsidRDefault="002A385D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D3B" w:rsidRDefault="00115D3B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D3B" w:rsidRDefault="00115D3B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D3B" w:rsidRDefault="00115D3B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D3B" w:rsidRDefault="00115D3B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D3B" w:rsidRDefault="00115D3B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D3B" w:rsidRDefault="00115D3B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D3B" w:rsidRDefault="00115D3B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D3B" w:rsidRDefault="00115D3B" w:rsidP="0067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E341AC">
      <w:pPr>
        <w:widowControl w:val="0"/>
        <w:tabs>
          <w:tab w:val="left" w:pos="456"/>
          <w:tab w:val="left" w:pos="9669"/>
        </w:tabs>
        <w:autoSpaceDE w:val="0"/>
        <w:autoSpaceDN w:val="0"/>
        <w:adjustRightInd w:val="0"/>
        <w:ind w:left="454" w:hanging="454"/>
        <w:jc w:val="both"/>
        <w:rPr>
          <w:rFonts w:ascii="Times" w:hAnsi="Times" w:cs="Times"/>
        </w:rPr>
      </w:pPr>
      <w:r>
        <w:rPr>
          <w:rFonts w:ascii="Times" w:hAnsi="Times" w:cs="Times"/>
        </w:rPr>
        <w:t>Per la superficie totale relativa ad utenze con utilizzo non continuativo e’</w:t>
      </w:r>
      <w:r w:rsidR="00E24854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stato applicato il coefficiente relativo ai seguenti componenti ipotizzando che questo sia il numero medio di occupanti.</w:t>
      </w:r>
    </w:p>
    <w:tbl>
      <w:tblPr>
        <w:tblW w:w="0" w:type="auto"/>
        <w:tblInd w:w="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9"/>
        <w:gridCol w:w="2952"/>
        <w:gridCol w:w="2801"/>
      </w:tblGrid>
      <w:tr w:rsidR="00E341AC" w:rsidTr="00220293">
        <w:trPr>
          <w:trHeight w:hRule="exact" w:val="338"/>
        </w:trPr>
        <w:tc>
          <w:tcPr>
            <w:tcW w:w="5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AC" w:rsidRPr="006D2785" w:rsidRDefault="00E341AC" w:rsidP="00E341AC">
            <w:pPr>
              <w:pStyle w:val="TableParagraph"/>
              <w:kinsoku w:val="0"/>
              <w:overflowPunct w:val="0"/>
              <w:spacing w:line="291" w:lineRule="exact"/>
              <w:ind w:left="5"/>
              <w:jc w:val="center"/>
              <w:rPr>
                <w:b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ab/>
            </w:r>
            <w:r w:rsidR="006D2785" w:rsidRPr="006D2785">
              <w:rPr>
                <w:rFonts w:ascii="Times" w:hAnsi="Times" w:cs="Times"/>
                <w:b/>
                <w:sz w:val="22"/>
                <w:szCs w:val="22"/>
              </w:rPr>
              <w:t>Su</w:t>
            </w:r>
            <w:r w:rsidRPr="006D2785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perficie</w:t>
            </w:r>
            <w:r w:rsidRPr="006D2785">
              <w:rPr>
                <w:rFonts w:ascii="Calibri" w:hAnsi="Calibri" w:cs="Calibri"/>
                <w:b/>
                <w:bCs/>
                <w:spacing w:val="-10"/>
                <w:sz w:val="22"/>
                <w:szCs w:val="22"/>
              </w:rPr>
              <w:t xml:space="preserve"> </w:t>
            </w:r>
            <w:r w:rsidRPr="006D2785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(mq)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AC" w:rsidRPr="0001499F" w:rsidRDefault="00E341AC" w:rsidP="00220293">
            <w:pPr>
              <w:pStyle w:val="TableParagraph"/>
              <w:kinsoku w:val="0"/>
              <w:overflowPunct w:val="0"/>
              <w:spacing w:before="176"/>
              <w:ind w:left="646"/>
              <w:rPr>
                <w:sz w:val="22"/>
                <w:szCs w:val="22"/>
              </w:rPr>
            </w:pPr>
            <w:r w:rsidRPr="0001499F">
              <w:rPr>
                <w:rFonts w:ascii="Calibri" w:hAnsi="Calibri" w:cs="Calibri"/>
                <w:b/>
                <w:bCs/>
                <w:sz w:val="22"/>
                <w:szCs w:val="22"/>
              </w:rPr>
              <w:t>N°</w:t>
            </w:r>
            <w:r w:rsidRPr="0001499F">
              <w:rPr>
                <w:rFonts w:ascii="Calibri" w:hAnsi="Calibri" w:cs="Calibri"/>
                <w:b/>
                <w:bCs/>
                <w:spacing w:val="-12"/>
                <w:sz w:val="22"/>
                <w:szCs w:val="22"/>
              </w:rPr>
              <w:t xml:space="preserve"> </w:t>
            </w:r>
            <w:r w:rsidRPr="0001499F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componenti</w:t>
            </w:r>
          </w:p>
        </w:tc>
      </w:tr>
      <w:tr w:rsidR="00E341AC" w:rsidTr="00220293">
        <w:trPr>
          <w:trHeight w:hRule="exact" w:val="322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AC" w:rsidRPr="0001499F" w:rsidRDefault="00E341AC" w:rsidP="00220293">
            <w:pPr>
              <w:pStyle w:val="TableParagraph"/>
              <w:kinsoku w:val="0"/>
              <w:overflowPunct w:val="0"/>
              <w:spacing w:line="291" w:lineRule="exact"/>
              <w:ind w:left="5"/>
              <w:jc w:val="center"/>
              <w:rPr>
                <w:sz w:val="22"/>
                <w:szCs w:val="22"/>
              </w:rPr>
            </w:pPr>
            <w:r w:rsidRPr="0001499F">
              <w:rPr>
                <w:rFonts w:ascii="Calibri" w:hAnsi="Calibri" w:cs="Calibri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AC" w:rsidRPr="0001499F" w:rsidRDefault="00E341AC" w:rsidP="00220293">
            <w:pPr>
              <w:pStyle w:val="TableParagraph"/>
              <w:kinsoku w:val="0"/>
              <w:overflowPunct w:val="0"/>
              <w:spacing w:line="291" w:lineRule="exact"/>
              <w:ind w:left="1"/>
              <w:jc w:val="center"/>
              <w:rPr>
                <w:sz w:val="22"/>
                <w:szCs w:val="22"/>
              </w:rPr>
            </w:pPr>
            <w:r w:rsidRPr="0001499F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341AC" w:rsidRPr="0001499F" w:rsidRDefault="00E341AC" w:rsidP="00220293">
            <w:pPr>
              <w:pStyle w:val="TableParagraph"/>
              <w:kinsoku w:val="0"/>
              <w:overflowPunct w:val="0"/>
              <w:spacing w:line="291" w:lineRule="exact"/>
              <w:ind w:left="1"/>
              <w:jc w:val="center"/>
              <w:rPr>
                <w:sz w:val="22"/>
                <w:szCs w:val="22"/>
              </w:rPr>
            </w:pPr>
          </w:p>
        </w:tc>
      </w:tr>
      <w:tr w:rsidR="00E341AC" w:rsidTr="00220293">
        <w:trPr>
          <w:trHeight w:hRule="exact" w:val="322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C" w:rsidRPr="0001499F" w:rsidRDefault="00E341AC" w:rsidP="00220293">
            <w:pPr>
              <w:pStyle w:val="TableParagraph"/>
              <w:kinsoku w:val="0"/>
              <w:overflowPunct w:val="0"/>
              <w:spacing w:line="291" w:lineRule="exact"/>
              <w:ind w:left="1"/>
              <w:jc w:val="center"/>
              <w:rPr>
                <w:sz w:val="22"/>
                <w:szCs w:val="22"/>
              </w:rPr>
            </w:pPr>
            <w:r w:rsidRPr="0001499F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C" w:rsidRPr="0001499F" w:rsidRDefault="00E341AC" w:rsidP="00220293">
            <w:pPr>
              <w:pStyle w:val="TableParagraph"/>
              <w:kinsoku w:val="0"/>
              <w:overflowPunct w:val="0"/>
              <w:spacing w:line="291" w:lineRule="exact"/>
              <w:ind w:left="3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01499F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C" w:rsidRPr="0001499F" w:rsidRDefault="00E341AC" w:rsidP="00220293">
            <w:pPr>
              <w:pStyle w:val="TableParagraph"/>
              <w:kinsoku w:val="0"/>
              <w:overflowPunct w:val="0"/>
              <w:spacing w:line="291" w:lineRule="exact"/>
              <w:ind w:left="3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</w:tr>
      <w:tr w:rsidR="00E341AC" w:rsidTr="00220293">
        <w:trPr>
          <w:trHeight w:hRule="exact" w:val="338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C" w:rsidRPr="0001499F" w:rsidRDefault="00E341AC" w:rsidP="00220293">
            <w:pPr>
              <w:pStyle w:val="TableParagraph"/>
              <w:kinsoku w:val="0"/>
              <w:overflowPunct w:val="0"/>
              <w:spacing w:line="291" w:lineRule="exact"/>
              <w:ind w:left="3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01499F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C" w:rsidRPr="0001499F" w:rsidRDefault="00E341AC" w:rsidP="00220293">
            <w:pPr>
              <w:pStyle w:val="TableParagraph"/>
              <w:kinsoku w:val="0"/>
              <w:overflowPunct w:val="0"/>
              <w:spacing w:line="291" w:lineRule="exact"/>
              <w:ind w:left="3"/>
              <w:jc w:val="center"/>
              <w:rPr>
                <w:sz w:val="22"/>
                <w:szCs w:val="22"/>
              </w:rPr>
            </w:pPr>
            <w:r w:rsidRPr="0001499F">
              <w:rPr>
                <w:rFonts w:ascii="Calibri" w:hAnsi="Calibri" w:cs="Calibr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C" w:rsidRPr="0001499F" w:rsidRDefault="00E341AC" w:rsidP="00220293">
            <w:pPr>
              <w:pStyle w:val="TableParagraph"/>
              <w:kinsoku w:val="0"/>
              <w:overflowPunct w:val="0"/>
              <w:spacing w:line="291" w:lineRule="exact"/>
              <w:ind w:left="3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</w:tr>
      <w:tr w:rsidR="00E341AC" w:rsidTr="00220293">
        <w:trPr>
          <w:trHeight w:hRule="exact" w:val="341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C" w:rsidRPr="0001499F" w:rsidRDefault="00E341AC" w:rsidP="00220293">
            <w:pPr>
              <w:pStyle w:val="TableParagraph"/>
              <w:kinsoku w:val="0"/>
              <w:overflowPunct w:val="0"/>
              <w:spacing w:before="1"/>
              <w:ind w:left="3"/>
              <w:jc w:val="center"/>
              <w:rPr>
                <w:sz w:val="22"/>
                <w:szCs w:val="22"/>
              </w:rPr>
            </w:pPr>
            <w:r w:rsidRPr="0001499F">
              <w:rPr>
                <w:rFonts w:ascii="Calibri" w:hAnsi="Calibri" w:cs="Calibri"/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C" w:rsidRPr="0001499F" w:rsidRDefault="00E341AC" w:rsidP="00220293">
            <w:pPr>
              <w:pStyle w:val="TableParagraph"/>
              <w:kinsoku w:val="0"/>
              <w:overflowPunct w:val="0"/>
              <w:spacing w:before="1"/>
              <w:ind w:left="5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C" w:rsidRPr="0001499F" w:rsidRDefault="00E341AC" w:rsidP="00220293">
            <w:pPr>
              <w:pStyle w:val="TableParagraph"/>
              <w:kinsoku w:val="0"/>
              <w:overflowPunct w:val="0"/>
              <w:spacing w:before="1"/>
              <w:ind w:left="3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</w:tr>
      <w:tr w:rsidR="00E341AC" w:rsidTr="00220293">
        <w:trPr>
          <w:trHeight w:hRule="exact" w:val="341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C" w:rsidRPr="0001499F" w:rsidRDefault="00E341AC" w:rsidP="00220293">
            <w:pPr>
              <w:pStyle w:val="TableParagraph"/>
              <w:kinsoku w:val="0"/>
              <w:overflowPunct w:val="0"/>
              <w:spacing w:before="1"/>
              <w:ind w:left="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C" w:rsidRDefault="00E341AC" w:rsidP="00220293">
            <w:pPr>
              <w:pStyle w:val="TableParagraph"/>
              <w:kinsoku w:val="0"/>
              <w:overflowPunct w:val="0"/>
              <w:spacing w:before="1"/>
              <w:ind w:left="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C" w:rsidRDefault="00E341AC" w:rsidP="00220293">
            <w:pPr>
              <w:pStyle w:val="TableParagraph"/>
              <w:kinsoku w:val="0"/>
              <w:overflowPunct w:val="0"/>
              <w:spacing w:before="1"/>
              <w:ind w:left="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</w:tr>
      <w:tr w:rsidR="00E341AC" w:rsidTr="00220293">
        <w:trPr>
          <w:trHeight w:hRule="exact" w:val="341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C" w:rsidRDefault="00E341AC" w:rsidP="00220293">
            <w:pPr>
              <w:pStyle w:val="TableParagraph"/>
              <w:kinsoku w:val="0"/>
              <w:overflowPunct w:val="0"/>
              <w:spacing w:before="1"/>
              <w:ind w:left="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OLTRE 200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C" w:rsidRDefault="00E341AC" w:rsidP="00220293">
            <w:pPr>
              <w:pStyle w:val="TableParagraph"/>
              <w:kinsoku w:val="0"/>
              <w:overflowPunct w:val="0"/>
              <w:spacing w:before="1"/>
              <w:ind w:left="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C" w:rsidRDefault="00E341AC" w:rsidP="00220293">
            <w:pPr>
              <w:pStyle w:val="TableParagraph"/>
              <w:kinsoku w:val="0"/>
              <w:overflowPunct w:val="0"/>
              <w:spacing w:before="1"/>
              <w:ind w:left="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</w:tr>
    </w:tbl>
    <w:p w:rsidR="00E341AC" w:rsidRDefault="00E341AC" w:rsidP="00E341A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</w:p>
    <w:p w:rsidR="004304A5" w:rsidRDefault="004304A5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1666">
        <w:rPr>
          <w:rFonts w:ascii="Times New Roman" w:hAnsi="Times New Roman" w:cs="Times New Roman"/>
          <w:color w:val="000000"/>
          <w:sz w:val="24"/>
          <w:szCs w:val="24"/>
        </w:rPr>
        <w:t>Per entrambe le macro categorie il piano tarif</w:t>
      </w:r>
      <w:r w:rsidR="008760B4">
        <w:rPr>
          <w:rFonts w:ascii="Times New Roman" w:hAnsi="Times New Roman" w:cs="Times New Roman"/>
          <w:color w:val="000000"/>
          <w:sz w:val="24"/>
          <w:szCs w:val="24"/>
        </w:rPr>
        <w:t>fario per il 2016</w:t>
      </w:r>
      <w:r w:rsidR="0006048B" w:rsidRPr="00181666">
        <w:rPr>
          <w:rFonts w:ascii="Times New Roman" w:hAnsi="Times New Roman" w:cs="Times New Roman"/>
          <w:color w:val="000000"/>
          <w:sz w:val="24"/>
          <w:szCs w:val="24"/>
        </w:rPr>
        <w:t xml:space="preserve"> è il seguente</w:t>
      </w:r>
      <w:r w:rsidR="00E24854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722B27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-598805</wp:posOffset>
                </wp:positionV>
                <wp:extent cx="6120130" cy="8930640"/>
                <wp:effectExtent l="0" t="3810" r="4445" b="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93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854" w:rsidRDefault="00E2485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6115050" cy="8686800"/>
                                  <wp:effectExtent l="19050" t="0" r="0" b="0"/>
                                  <wp:docPr id="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15050" cy="868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1" type="#_x0000_t202" style="position:absolute;margin-left:-40.95pt;margin-top:-47.15pt;width:481.9pt;height:703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" stroked="f">
                <v:textbox style="mso-fit-shape-to-text:t">
                  <w:txbxContent>
                    <w:p w:rsidR="00E24854" w:rsidRDefault="00E2485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6115050" cy="8686800"/>
                            <wp:effectExtent l="19050" t="0" r="0" b="0"/>
                            <wp:docPr id="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15050" cy="868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1AC" w:rsidRDefault="00E341AC" w:rsidP="0043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04A5" w:rsidRDefault="004304A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04A5" w:rsidRDefault="004304A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04A5" w:rsidRDefault="004304A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C79" w:rsidRDefault="001D7C79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04A5" w:rsidRDefault="004304A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BFA" w:rsidRDefault="00310BFA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71ED" w:rsidRPr="00800CA9" w:rsidRDefault="00B97D58" w:rsidP="001D7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A9">
        <w:rPr>
          <w:rFonts w:ascii="Times New Roman" w:hAnsi="Times New Roman" w:cs="Times New Roman"/>
          <w:sz w:val="24"/>
          <w:szCs w:val="24"/>
        </w:rPr>
        <w:t xml:space="preserve">Le tariffe sopra riportate, a causa della presenza nei calcoli di più decimali, possono subire  arrotondamenti per eccesso o per difetto al centesimo superiore o inferiore. </w:t>
      </w:r>
    </w:p>
    <w:p w:rsidR="000A71ED" w:rsidRPr="00800CA9" w:rsidRDefault="000A71ED" w:rsidP="001D7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0F" w:rsidRPr="00800CA9" w:rsidRDefault="0020610F" w:rsidP="001D7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A9">
        <w:rPr>
          <w:rFonts w:ascii="Times New Roman" w:hAnsi="Times New Roman" w:cs="Times New Roman"/>
          <w:sz w:val="24"/>
          <w:szCs w:val="24"/>
        </w:rPr>
        <w:t>Le riduzioni tar</w:t>
      </w:r>
      <w:r w:rsidR="008760B4" w:rsidRPr="00800CA9">
        <w:rPr>
          <w:rFonts w:ascii="Times New Roman" w:hAnsi="Times New Roman" w:cs="Times New Roman"/>
          <w:sz w:val="24"/>
          <w:szCs w:val="24"/>
        </w:rPr>
        <w:t>iffarie previste per l’anno 2016</w:t>
      </w:r>
      <w:r w:rsidRPr="00800CA9">
        <w:rPr>
          <w:rFonts w:ascii="Times New Roman" w:hAnsi="Times New Roman" w:cs="Times New Roman"/>
          <w:sz w:val="24"/>
          <w:szCs w:val="24"/>
        </w:rPr>
        <w:t>, ai sensi dell’art. 14 del D.L. n. 201/2011, sono le</w:t>
      </w:r>
    </w:p>
    <w:p w:rsidR="0020610F" w:rsidRPr="00800CA9" w:rsidRDefault="0020610F" w:rsidP="001D7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A9">
        <w:rPr>
          <w:rFonts w:ascii="Times New Roman" w:hAnsi="Times New Roman" w:cs="Times New Roman"/>
          <w:sz w:val="24"/>
          <w:szCs w:val="24"/>
        </w:rPr>
        <w:t>seguenti:</w:t>
      </w:r>
    </w:p>
    <w:p w:rsidR="0073588A" w:rsidRPr="00800CA9" w:rsidRDefault="0073588A" w:rsidP="00735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A9">
        <w:rPr>
          <w:rFonts w:ascii="Times New Roman" w:hAnsi="Times New Roman" w:cs="Times New Roman"/>
          <w:sz w:val="24"/>
          <w:szCs w:val="24"/>
        </w:rPr>
        <w:t>1. abitazioni tenute a disposizione per uso stagionale o altro uso limitato e discontinuo</w:t>
      </w:r>
    </w:p>
    <w:p w:rsidR="0073588A" w:rsidRPr="00800CA9" w:rsidRDefault="0073588A" w:rsidP="00735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A9">
        <w:rPr>
          <w:rFonts w:ascii="Times New Roman" w:hAnsi="Times New Roman" w:cs="Times New Roman"/>
          <w:sz w:val="24"/>
          <w:szCs w:val="24"/>
        </w:rPr>
        <w:t xml:space="preserve">riduzione del </w:t>
      </w:r>
      <w:r w:rsidR="00F46182" w:rsidRPr="00800CA9">
        <w:rPr>
          <w:rFonts w:ascii="Times New Roman" w:hAnsi="Times New Roman" w:cs="Times New Roman"/>
          <w:b/>
          <w:sz w:val="24"/>
          <w:szCs w:val="24"/>
        </w:rPr>
        <w:t>20%;</w:t>
      </w:r>
    </w:p>
    <w:p w:rsidR="0073588A" w:rsidRPr="00800CA9" w:rsidRDefault="0073588A" w:rsidP="00735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A9">
        <w:rPr>
          <w:rFonts w:ascii="Times New Roman" w:hAnsi="Times New Roman" w:cs="Times New Roman"/>
          <w:sz w:val="24"/>
          <w:szCs w:val="24"/>
        </w:rPr>
        <w:t>2. locali, diversi dalle abitazioni ed aree scoperte adibiti ad uso stagionale o ad uso non</w:t>
      </w:r>
    </w:p>
    <w:p w:rsidR="0073588A" w:rsidRPr="00800CA9" w:rsidRDefault="0073588A" w:rsidP="00735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A9">
        <w:rPr>
          <w:rFonts w:ascii="Times New Roman" w:hAnsi="Times New Roman" w:cs="Times New Roman"/>
          <w:sz w:val="24"/>
          <w:szCs w:val="24"/>
        </w:rPr>
        <w:t xml:space="preserve">continuativo ma ricorrente, riduzione del </w:t>
      </w:r>
      <w:r w:rsidR="00F46182" w:rsidRPr="00800CA9">
        <w:rPr>
          <w:rFonts w:ascii="Times New Roman" w:hAnsi="Times New Roman" w:cs="Times New Roman"/>
          <w:b/>
          <w:sz w:val="24"/>
          <w:szCs w:val="24"/>
        </w:rPr>
        <w:t>30%;</w:t>
      </w:r>
    </w:p>
    <w:p w:rsidR="0073588A" w:rsidRPr="00800CA9" w:rsidRDefault="0073588A" w:rsidP="00735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A9">
        <w:rPr>
          <w:rFonts w:ascii="Times New Roman" w:hAnsi="Times New Roman" w:cs="Times New Roman"/>
          <w:sz w:val="24"/>
          <w:szCs w:val="24"/>
        </w:rPr>
        <w:t>3. abitazioni occupate da soggetti che risiedano o abbiano la dimora per più di sei mesi</w:t>
      </w:r>
    </w:p>
    <w:p w:rsidR="0073588A" w:rsidRPr="00800CA9" w:rsidRDefault="0073588A" w:rsidP="00735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A9">
        <w:rPr>
          <w:rFonts w:ascii="Times New Roman" w:hAnsi="Times New Roman" w:cs="Times New Roman"/>
          <w:sz w:val="24"/>
          <w:szCs w:val="24"/>
        </w:rPr>
        <w:t xml:space="preserve">all’anno all’estero, riduzione del </w:t>
      </w:r>
      <w:r w:rsidR="00F46182" w:rsidRPr="00800CA9">
        <w:rPr>
          <w:rFonts w:ascii="Times New Roman" w:hAnsi="Times New Roman" w:cs="Times New Roman"/>
          <w:b/>
          <w:sz w:val="24"/>
          <w:szCs w:val="24"/>
        </w:rPr>
        <w:t>20%;</w:t>
      </w:r>
    </w:p>
    <w:p w:rsidR="0073588A" w:rsidRPr="00800CA9" w:rsidRDefault="0073588A" w:rsidP="00735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A9">
        <w:rPr>
          <w:rFonts w:ascii="Times New Roman" w:hAnsi="Times New Roman" w:cs="Times New Roman"/>
          <w:sz w:val="24"/>
          <w:szCs w:val="24"/>
        </w:rPr>
        <w:t xml:space="preserve">4. </w:t>
      </w:r>
      <w:r w:rsidR="004405AB" w:rsidRPr="00800CA9">
        <w:rPr>
          <w:rFonts w:ascii="Times New Roman" w:hAnsi="Times New Roman" w:cs="Times New Roman"/>
          <w:sz w:val="24"/>
          <w:szCs w:val="24"/>
        </w:rPr>
        <w:t>utenze domestiche ed annessi agricoli ubicate in “zone rurali”</w:t>
      </w:r>
      <w:r w:rsidRPr="00800CA9">
        <w:rPr>
          <w:rFonts w:ascii="Times New Roman" w:hAnsi="Times New Roman" w:cs="Times New Roman"/>
          <w:sz w:val="24"/>
          <w:szCs w:val="24"/>
        </w:rPr>
        <w:t>, riduzione del</w:t>
      </w:r>
      <w:r w:rsidR="00F46182" w:rsidRPr="00800CA9">
        <w:rPr>
          <w:rFonts w:ascii="Times New Roman" w:hAnsi="Times New Roman" w:cs="Times New Roman"/>
          <w:sz w:val="24"/>
          <w:szCs w:val="24"/>
        </w:rPr>
        <w:t xml:space="preserve"> 30%;</w:t>
      </w:r>
      <w:r w:rsidRPr="00800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182" w:rsidRPr="00800CA9" w:rsidRDefault="00F46182" w:rsidP="00735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A9">
        <w:rPr>
          <w:rFonts w:ascii="Times New Roman" w:hAnsi="Times New Roman" w:cs="Times New Roman"/>
          <w:sz w:val="24"/>
          <w:szCs w:val="24"/>
        </w:rPr>
        <w:t xml:space="preserve">5.abitazioni con unico occupante, riduzione del </w:t>
      </w:r>
      <w:r w:rsidRPr="00800CA9">
        <w:rPr>
          <w:rFonts w:ascii="Times New Roman" w:hAnsi="Times New Roman" w:cs="Times New Roman"/>
          <w:b/>
          <w:sz w:val="24"/>
          <w:szCs w:val="24"/>
        </w:rPr>
        <w:t>20%.</w:t>
      </w:r>
      <w:r w:rsidRPr="00800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F66" w:rsidRPr="00800CA9" w:rsidRDefault="00947F66" w:rsidP="00947F66">
      <w:pPr>
        <w:spacing w:after="0" w:line="240" w:lineRule="auto"/>
        <w:jc w:val="both"/>
      </w:pPr>
      <w:r w:rsidRPr="00800CA9">
        <w:rPr>
          <w:rFonts w:ascii="Times New Roman" w:hAnsi="Times New Roman" w:cs="Times New Roman"/>
          <w:sz w:val="24"/>
          <w:szCs w:val="24"/>
        </w:rPr>
        <w:t>6.</w:t>
      </w:r>
      <w:r w:rsidRPr="00800CA9">
        <w:t xml:space="preserve"> Riduzione del </w:t>
      </w:r>
      <w:r w:rsidRPr="00800CA9">
        <w:rPr>
          <w:b/>
        </w:rPr>
        <w:t>20%</w:t>
      </w:r>
      <w:r w:rsidRPr="00800CA9">
        <w:t xml:space="preserve"> della tariffa, parte fissa e parte variabile, per le famiglie composte da giovani coppie, per i primi 3 (tre) anni di matrimonio, che occupano un’abitazione con contratto di affitto regolarmente registrato e con ISEE complessiva, riferita all’anno 2014, non superiore ad Euro 10.000,00</w:t>
      </w:r>
      <w:bookmarkStart w:id="1" w:name="OLE_LINK3"/>
      <w:bookmarkStart w:id="2" w:name="OLE_LINK4"/>
      <w:r w:rsidRPr="00800CA9">
        <w:t>.</w:t>
      </w:r>
      <w:bookmarkEnd w:id="1"/>
      <w:bookmarkEnd w:id="2"/>
    </w:p>
    <w:p w:rsidR="00947F66" w:rsidRPr="00800CA9" w:rsidRDefault="00947F66" w:rsidP="00947F66">
      <w:pPr>
        <w:spacing w:after="0" w:line="240" w:lineRule="auto"/>
        <w:jc w:val="both"/>
      </w:pPr>
      <w:r w:rsidRPr="00800CA9">
        <w:t xml:space="preserve">7. Riduzione del </w:t>
      </w:r>
      <w:r w:rsidRPr="00800CA9">
        <w:rPr>
          <w:b/>
        </w:rPr>
        <w:t>20%</w:t>
      </w:r>
      <w:r w:rsidRPr="00800CA9">
        <w:t xml:space="preserve"> della tariffa, parte fissa e variabile, per i primi 3 (tre) anni di attività, o frazione per il primo anno fino al 31 dicembre dello stesso, a favore di coloro che richiedano la partita iva per intraprendere una nuova attività di impresa (ad esclusione di quelle di lavoro autonomo) ; la riduzione non spetta a coloro che cessano l’attività e ne intraprendono un’altra con lo stesso codice attività entro 6 (sei) mesi dalla cessazione, ed alle attività che costituiscono una mera prosecuzione di quella precedente, anche nel caso in cui si tratti di soggetti diversi.</w:t>
      </w:r>
    </w:p>
    <w:p w:rsidR="00947F66" w:rsidRPr="00800CA9" w:rsidRDefault="00947F66" w:rsidP="00947F66">
      <w:pPr>
        <w:spacing w:after="0" w:line="240" w:lineRule="auto"/>
        <w:jc w:val="both"/>
      </w:pPr>
      <w:r w:rsidRPr="00800CA9">
        <w:t xml:space="preserve">8. Riduzione del </w:t>
      </w:r>
      <w:r w:rsidRPr="00800CA9">
        <w:rPr>
          <w:b/>
        </w:rPr>
        <w:t>15%</w:t>
      </w:r>
      <w:r w:rsidRPr="00800CA9">
        <w:t xml:space="preserve"> della tariffa, parte fissa e variabile, per gli esercizi commerciali appartenenti alle</w:t>
      </w:r>
    </w:p>
    <w:p w:rsidR="00947F66" w:rsidRPr="00800CA9" w:rsidRDefault="00947F66" w:rsidP="00947F66">
      <w:pPr>
        <w:spacing w:after="0" w:line="240" w:lineRule="auto"/>
        <w:jc w:val="both"/>
      </w:pPr>
      <w:r w:rsidRPr="00800CA9">
        <w:t>Categorie 02.24.00 (Bar) e 02.14.00 ( Tabaccherie) che provvedano a disinstallare</w:t>
      </w:r>
      <w:r w:rsidR="00800CA9" w:rsidRPr="00800CA9">
        <w:t xml:space="preserve"> integralmente</w:t>
      </w:r>
      <w:r w:rsidR="00800CA9">
        <w:t xml:space="preserve">, </w:t>
      </w:r>
      <w:r w:rsidRPr="00800CA9">
        <w:t>entro il termine del 31.07.2016, dalla propria attività apparecchi di video poker, slot machine, videolettery o altri apparecchi similari, installati prima del 31.12.2015.</w:t>
      </w:r>
    </w:p>
    <w:p w:rsidR="00947F66" w:rsidRPr="00800CA9" w:rsidRDefault="00947F66" w:rsidP="00735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8A" w:rsidRPr="00800CA9" w:rsidRDefault="0073588A" w:rsidP="00735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A9">
        <w:rPr>
          <w:rFonts w:ascii="Times New Roman" w:hAnsi="Times New Roman" w:cs="Times New Roman"/>
          <w:sz w:val="24"/>
          <w:szCs w:val="24"/>
        </w:rPr>
        <w:t>Per il servizio di gestione dei rifiuti assimilati prodotti dai soggetti che occupano o detengono temporaneamente, con o senza autorizzazione, locali o aree pubbliche o di uso pubblico, è dovuto il tributo giornaliero. La tariffa del tributo giornaliero è commisurata per ciascun metro quadrato d</w:t>
      </w:r>
      <w:r w:rsidR="000A71ED" w:rsidRPr="00800CA9">
        <w:rPr>
          <w:rFonts w:ascii="Times New Roman" w:hAnsi="Times New Roman" w:cs="Times New Roman"/>
          <w:sz w:val="24"/>
          <w:szCs w:val="24"/>
        </w:rPr>
        <w:t xml:space="preserve"> </w:t>
      </w:r>
      <w:r w:rsidRPr="00800CA9">
        <w:rPr>
          <w:rFonts w:ascii="Times New Roman" w:hAnsi="Times New Roman" w:cs="Times New Roman"/>
          <w:sz w:val="24"/>
          <w:szCs w:val="24"/>
        </w:rPr>
        <w:t xml:space="preserve">isuperficie occupata, per giorno o frazione di giorno di occupazione. La tariffa giornaliera è fissata,per ogni categoria, nella misura di 1/365 della tariffa annuale del tributo (quota fissa e quota variabile) maggiorata del </w:t>
      </w:r>
      <w:r w:rsidR="00F46182" w:rsidRPr="00800CA9">
        <w:rPr>
          <w:rFonts w:ascii="Times New Roman" w:hAnsi="Times New Roman" w:cs="Times New Roman"/>
          <w:sz w:val="24"/>
          <w:szCs w:val="24"/>
        </w:rPr>
        <w:t>50%.</w:t>
      </w:r>
    </w:p>
    <w:p w:rsidR="004304A5" w:rsidRPr="00800CA9" w:rsidRDefault="004304A5" w:rsidP="0020610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8"/>
          <w:szCs w:val="28"/>
        </w:rPr>
      </w:pPr>
    </w:p>
    <w:p w:rsidR="002A6157" w:rsidRDefault="002A6157" w:rsidP="0020610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00"/>
          <w:sz w:val="28"/>
          <w:szCs w:val="28"/>
        </w:rPr>
      </w:pPr>
    </w:p>
    <w:p w:rsidR="002A6157" w:rsidRDefault="002A6157" w:rsidP="0020610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00"/>
          <w:sz w:val="28"/>
          <w:szCs w:val="28"/>
        </w:rPr>
      </w:pPr>
    </w:p>
    <w:p w:rsidR="002A6157" w:rsidRDefault="002A6157" w:rsidP="0020610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00"/>
          <w:sz w:val="28"/>
          <w:szCs w:val="28"/>
        </w:rPr>
      </w:pPr>
    </w:p>
    <w:p w:rsidR="002A6157" w:rsidRDefault="002A6157" w:rsidP="0020610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00"/>
          <w:sz w:val="28"/>
          <w:szCs w:val="28"/>
        </w:rPr>
      </w:pPr>
    </w:p>
    <w:p w:rsidR="002A6157" w:rsidRDefault="002A6157" w:rsidP="0020610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00"/>
          <w:sz w:val="28"/>
          <w:szCs w:val="28"/>
        </w:rPr>
      </w:pPr>
    </w:p>
    <w:p w:rsidR="002A6157" w:rsidRDefault="002A6157" w:rsidP="0020610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00"/>
          <w:sz w:val="28"/>
          <w:szCs w:val="28"/>
        </w:rPr>
      </w:pPr>
    </w:p>
    <w:p w:rsidR="002A6157" w:rsidRDefault="002A6157" w:rsidP="0020610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00"/>
          <w:sz w:val="28"/>
          <w:szCs w:val="28"/>
        </w:rPr>
      </w:pPr>
    </w:p>
    <w:p w:rsidR="002A6157" w:rsidRDefault="002A6157" w:rsidP="0020610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00"/>
          <w:sz w:val="28"/>
          <w:szCs w:val="28"/>
        </w:rPr>
      </w:pPr>
    </w:p>
    <w:p w:rsidR="002A6157" w:rsidRDefault="002A6157" w:rsidP="0020610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00"/>
          <w:sz w:val="28"/>
          <w:szCs w:val="28"/>
        </w:rPr>
      </w:pPr>
    </w:p>
    <w:p w:rsidR="002A6157" w:rsidRDefault="002A6157" w:rsidP="0020610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00"/>
          <w:sz w:val="28"/>
          <w:szCs w:val="28"/>
        </w:rPr>
      </w:pPr>
    </w:p>
    <w:p w:rsidR="002A6157" w:rsidRDefault="002A6157" w:rsidP="0020610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00"/>
          <w:sz w:val="28"/>
          <w:szCs w:val="28"/>
        </w:rPr>
      </w:pPr>
    </w:p>
    <w:p w:rsidR="002A6157" w:rsidRDefault="002A6157" w:rsidP="0020610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00"/>
          <w:sz w:val="28"/>
          <w:szCs w:val="28"/>
        </w:rPr>
      </w:pPr>
    </w:p>
    <w:p w:rsidR="002A6157" w:rsidRDefault="002A6157" w:rsidP="0020610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00"/>
          <w:sz w:val="28"/>
          <w:szCs w:val="28"/>
        </w:rPr>
      </w:pPr>
    </w:p>
    <w:p w:rsidR="002A6157" w:rsidRDefault="002A6157" w:rsidP="0020610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00"/>
          <w:sz w:val="28"/>
          <w:szCs w:val="28"/>
        </w:rPr>
      </w:pPr>
    </w:p>
    <w:p w:rsidR="002A6157" w:rsidRDefault="002A6157" w:rsidP="0020610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00"/>
          <w:sz w:val="28"/>
          <w:szCs w:val="28"/>
        </w:rPr>
      </w:pPr>
    </w:p>
    <w:p w:rsidR="002A6157" w:rsidRDefault="002A6157" w:rsidP="0020610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00"/>
          <w:sz w:val="28"/>
          <w:szCs w:val="28"/>
        </w:rPr>
      </w:pPr>
    </w:p>
    <w:p w:rsidR="002A6157" w:rsidRDefault="002A6157" w:rsidP="0020610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00"/>
          <w:sz w:val="28"/>
          <w:szCs w:val="28"/>
        </w:rPr>
      </w:pPr>
    </w:p>
    <w:p w:rsidR="002A6157" w:rsidRDefault="002A6157" w:rsidP="0020610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00"/>
          <w:sz w:val="28"/>
          <w:szCs w:val="28"/>
        </w:rPr>
      </w:pPr>
    </w:p>
    <w:p w:rsidR="002A6157" w:rsidRDefault="002A6157" w:rsidP="0020610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00"/>
          <w:sz w:val="28"/>
          <w:szCs w:val="28"/>
        </w:rPr>
      </w:pPr>
    </w:p>
    <w:p w:rsidR="002A6157" w:rsidRDefault="002A6157" w:rsidP="0020610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00"/>
          <w:sz w:val="28"/>
          <w:szCs w:val="28"/>
        </w:rPr>
      </w:pPr>
    </w:p>
    <w:p w:rsidR="002A6157" w:rsidRDefault="002A6157" w:rsidP="0020610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00"/>
          <w:sz w:val="28"/>
          <w:szCs w:val="28"/>
        </w:rPr>
      </w:pPr>
    </w:p>
    <w:p w:rsidR="002A6157" w:rsidRDefault="002A6157" w:rsidP="0020610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00"/>
          <w:sz w:val="28"/>
          <w:szCs w:val="28"/>
        </w:rPr>
      </w:pPr>
    </w:p>
    <w:p w:rsidR="002A6157" w:rsidRDefault="002A6157" w:rsidP="0020610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00"/>
          <w:sz w:val="28"/>
          <w:szCs w:val="28"/>
        </w:rPr>
      </w:pPr>
    </w:p>
    <w:p w:rsidR="002A6157" w:rsidRDefault="002A6157" w:rsidP="0020610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00"/>
          <w:sz w:val="28"/>
          <w:szCs w:val="28"/>
        </w:rPr>
      </w:pPr>
    </w:p>
    <w:p w:rsidR="0020610F" w:rsidRPr="004304A5" w:rsidRDefault="0020610F" w:rsidP="0020610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00"/>
          <w:sz w:val="28"/>
          <w:szCs w:val="28"/>
        </w:rPr>
      </w:pPr>
      <w:r w:rsidRPr="004304A5">
        <w:rPr>
          <w:rFonts w:ascii="Courier" w:hAnsi="Courier" w:cs="Courier"/>
          <w:b/>
          <w:bCs/>
          <w:color w:val="000000"/>
          <w:sz w:val="28"/>
          <w:szCs w:val="28"/>
        </w:rPr>
        <w:t>CONCLUSIONI</w:t>
      </w:r>
    </w:p>
    <w:p w:rsidR="00584BB9" w:rsidRDefault="0020610F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 seguito si riportano le tabelle di confronto </w:t>
      </w:r>
      <w:r w:rsidR="008760B4">
        <w:rPr>
          <w:rFonts w:ascii="Times New Roman" w:hAnsi="Times New Roman" w:cs="Times New Roman"/>
          <w:color w:val="000000"/>
          <w:sz w:val="24"/>
          <w:szCs w:val="24"/>
        </w:rPr>
        <w:t>tra la situazione dell’anno 2015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60B4">
        <w:rPr>
          <w:rFonts w:ascii="Times New Roman" w:hAnsi="Times New Roman" w:cs="Times New Roman"/>
          <w:color w:val="000000"/>
          <w:sz w:val="24"/>
          <w:szCs w:val="24"/>
        </w:rPr>
        <w:t>e anno 2016</w:t>
      </w:r>
    </w:p>
    <w:p w:rsidR="00584BB9" w:rsidRDefault="00584BB9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04A5" w:rsidRDefault="00722B27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78740</wp:posOffset>
                </wp:positionV>
                <wp:extent cx="6129655" cy="5730240"/>
                <wp:effectExtent l="9525" t="13335" r="13970" b="9525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573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854" w:rsidRDefault="00E2485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6115050" cy="5476875"/>
                                  <wp:effectExtent l="19050" t="0" r="0" b="0"/>
                                  <wp:docPr id="13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15050" cy="547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margin-left:15.3pt;margin-top:6.2pt;width:482.65pt;height:451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">
                <v:textbox style="mso-fit-shape-to-text:t">
                  <w:txbxContent>
                    <w:p w:rsidR="00E24854" w:rsidRDefault="00E2485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6115050" cy="5476875"/>
                            <wp:effectExtent l="19050" t="0" r="0" b="0"/>
                            <wp:docPr id="13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15050" cy="547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04A5" w:rsidRDefault="004304A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04A5" w:rsidRDefault="004304A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04A5" w:rsidRDefault="004304A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04A5" w:rsidRDefault="004304A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04A5" w:rsidRDefault="004304A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04A5" w:rsidRDefault="004304A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04A5" w:rsidRDefault="004304A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04A5" w:rsidRDefault="004304A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04A5" w:rsidRDefault="004304A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04A5" w:rsidRDefault="004304A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04A5" w:rsidRDefault="004304A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04A5" w:rsidRDefault="004304A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04A5" w:rsidRDefault="004304A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04A5" w:rsidRDefault="004304A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04A5" w:rsidRDefault="004304A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04A5" w:rsidRDefault="004304A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04A5" w:rsidRDefault="004304A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04A5" w:rsidRDefault="004304A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04A5" w:rsidRDefault="004304A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04A5" w:rsidRDefault="004304A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04A5" w:rsidRDefault="004304A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04A5" w:rsidRDefault="004304A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04A5" w:rsidRDefault="004304A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04A5" w:rsidRDefault="004304A5" w:rsidP="0020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15FC" w:rsidRDefault="001415FC" w:rsidP="0058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610F" w:rsidRDefault="0020610F" w:rsidP="00584BB9">
      <w:pPr>
        <w:jc w:val="both"/>
        <w:rPr>
          <w:rFonts w:ascii="Times New Roman" w:hAnsi="Times New Roman" w:cs="Times New Roman"/>
          <w:b/>
          <w:bCs/>
          <w:color w:val="0000FF"/>
          <w:sz w:val="56"/>
          <w:szCs w:val="56"/>
        </w:rPr>
      </w:pPr>
    </w:p>
    <w:p w:rsidR="0020610F" w:rsidRPr="0020610F" w:rsidRDefault="0020610F" w:rsidP="00584BB9">
      <w:pPr>
        <w:jc w:val="both"/>
      </w:pPr>
    </w:p>
    <w:sectPr w:rsidR="0020610F" w:rsidRPr="0020610F" w:rsidSect="003C0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761" w:rsidRDefault="00693761" w:rsidP="00115D3B">
      <w:pPr>
        <w:spacing w:after="0" w:line="240" w:lineRule="auto"/>
      </w:pPr>
      <w:r>
        <w:separator/>
      </w:r>
    </w:p>
  </w:endnote>
  <w:endnote w:type="continuationSeparator" w:id="0">
    <w:p w:rsidR="00693761" w:rsidRDefault="00693761" w:rsidP="0011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761" w:rsidRDefault="00693761" w:rsidP="00115D3B">
      <w:pPr>
        <w:spacing w:after="0" w:line="240" w:lineRule="auto"/>
      </w:pPr>
      <w:r>
        <w:separator/>
      </w:r>
    </w:p>
  </w:footnote>
  <w:footnote w:type="continuationSeparator" w:id="0">
    <w:p w:rsidR="00693761" w:rsidRDefault="00693761" w:rsidP="0011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9BCC633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7E61096"/>
    <w:multiLevelType w:val="hybridMultilevel"/>
    <w:tmpl w:val="58947A8C"/>
    <w:lvl w:ilvl="0" w:tplc="EF46D51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D6147"/>
    <w:multiLevelType w:val="hybridMultilevel"/>
    <w:tmpl w:val="F5C88296"/>
    <w:lvl w:ilvl="0" w:tplc="7EA62542">
      <w:numFmt w:val="bullet"/>
      <w:lvlText w:val="-"/>
      <w:lvlJc w:val="left"/>
      <w:pPr>
        <w:ind w:left="720" w:hanging="360"/>
      </w:pPr>
      <w:rPr>
        <w:rFonts w:ascii="Arial" w:eastAsia="MS PGothic" w:hAnsi="Arial" w:cs="Times New Roman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E307C0"/>
    <w:multiLevelType w:val="hybridMultilevel"/>
    <w:tmpl w:val="9AFAF49E"/>
    <w:lvl w:ilvl="0" w:tplc="3E8E3D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0F"/>
    <w:rsid w:val="0001094F"/>
    <w:rsid w:val="0006048B"/>
    <w:rsid w:val="0008044C"/>
    <w:rsid w:val="000A55AD"/>
    <w:rsid w:val="000A71ED"/>
    <w:rsid w:val="000B65C2"/>
    <w:rsid w:val="00115D3B"/>
    <w:rsid w:val="001270D1"/>
    <w:rsid w:val="001415FC"/>
    <w:rsid w:val="00143D14"/>
    <w:rsid w:val="00181666"/>
    <w:rsid w:val="001B362C"/>
    <w:rsid w:val="001D7C79"/>
    <w:rsid w:val="0020610F"/>
    <w:rsid w:val="00207322"/>
    <w:rsid w:val="00220293"/>
    <w:rsid w:val="00261C6B"/>
    <w:rsid w:val="002A385D"/>
    <w:rsid w:val="002A6157"/>
    <w:rsid w:val="002F66B9"/>
    <w:rsid w:val="00310BFA"/>
    <w:rsid w:val="00313791"/>
    <w:rsid w:val="00316B64"/>
    <w:rsid w:val="003B20D3"/>
    <w:rsid w:val="003C0F42"/>
    <w:rsid w:val="003F3585"/>
    <w:rsid w:val="00405ED8"/>
    <w:rsid w:val="00416470"/>
    <w:rsid w:val="00424F2C"/>
    <w:rsid w:val="004304A5"/>
    <w:rsid w:val="004405AB"/>
    <w:rsid w:val="004A4073"/>
    <w:rsid w:val="004A4092"/>
    <w:rsid w:val="004C6370"/>
    <w:rsid w:val="004F753A"/>
    <w:rsid w:val="00525870"/>
    <w:rsid w:val="00584BB9"/>
    <w:rsid w:val="005B72D4"/>
    <w:rsid w:val="0064710A"/>
    <w:rsid w:val="00672495"/>
    <w:rsid w:val="00693761"/>
    <w:rsid w:val="006A06A0"/>
    <w:rsid w:val="006B19D1"/>
    <w:rsid w:val="006D2785"/>
    <w:rsid w:val="006E7E5B"/>
    <w:rsid w:val="00715B0E"/>
    <w:rsid w:val="00722B27"/>
    <w:rsid w:val="0073588A"/>
    <w:rsid w:val="00792C7D"/>
    <w:rsid w:val="00800CA9"/>
    <w:rsid w:val="008760B4"/>
    <w:rsid w:val="0088641E"/>
    <w:rsid w:val="008F4A9F"/>
    <w:rsid w:val="00945EBA"/>
    <w:rsid w:val="00947F66"/>
    <w:rsid w:val="009A24B6"/>
    <w:rsid w:val="009D6283"/>
    <w:rsid w:val="00AA04F1"/>
    <w:rsid w:val="00AB6A39"/>
    <w:rsid w:val="00AC3BF3"/>
    <w:rsid w:val="00AD7494"/>
    <w:rsid w:val="00B002C8"/>
    <w:rsid w:val="00B129D3"/>
    <w:rsid w:val="00B30DF3"/>
    <w:rsid w:val="00B97D58"/>
    <w:rsid w:val="00BA1BE4"/>
    <w:rsid w:val="00BA2509"/>
    <w:rsid w:val="00C37D52"/>
    <w:rsid w:val="00C5370D"/>
    <w:rsid w:val="00CC06D6"/>
    <w:rsid w:val="00CC624C"/>
    <w:rsid w:val="00CE1791"/>
    <w:rsid w:val="00CF07F5"/>
    <w:rsid w:val="00D20F0D"/>
    <w:rsid w:val="00D73F37"/>
    <w:rsid w:val="00D77DD6"/>
    <w:rsid w:val="00D92CE6"/>
    <w:rsid w:val="00DA1BE7"/>
    <w:rsid w:val="00E24854"/>
    <w:rsid w:val="00E341AC"/>
    <w:rsid w:val="00E4054B"/>
    <w:rsid w:val="00E970E2"/>
    <w:rsid w:val="00EA6B0E"/>
    <w:rsid w:val="00F07A22"/>
    <w:rsid w:val="00F1172D"/>
    <w:rsid w:val="00F13761"/>
    <w:rsid w:val="00F26405"/>
    <w:rsid w:val="00F46182"/>
    <w:rsid w:val="00F73DAA"/>
    <w:rsid w:val="00FD1696"/>
    <w:rsid w:val="00F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5:docId w15:val="{7A7BDA72-0B0C-48B0-8AFE-2224B332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0F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10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B20D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15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15D3B"/>
  </w:style>
  <w:style w:type="paragraph" w:styleId="Pidipagina">
    <w:name w:val="footer"/>
    <w:basedOn w:val="Normale"/>
    <w:link w:val="PidipaginaCarattere"/>
    <w:uiPriority w:val="99"/>
    <w:semiHidden/>
    <w:unhideWhenUsed/>
    <w:rsid w:val="00115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15D3B"/>
  </w:style>
  <w:style w:type="paragraph" w:styleId="Paragrafoelenco">
    <w:name w:val="List Paragraph"/>
    <w:basedOn w:val="Normale"/>
    <w:uiPriority w:val="34"/>
    <w:qFormat/>
    <w:rsid w:val="00C37D52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E341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sistema-bdi.it/index.php?bdinr=021&amp;docnr=93085&amp;stato=l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stema-bdi.it/index.php?bdinr=021&amp;docnr=93085&amp;stato=lext" TargetMode="External"/><Relationship Id="rId14" Type="http://schemas.openxmlformats.org/officeDocument/2006/relationships/hyperlink" Target="http://www.sistema-bdi.it/index.php?bdinr=021&amp;docnr=93085&amp;stato=lex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682B7-C81C-428C-928E-37491B3B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2311</Words>
  <Characters>13177</Characters>
  <Application>Microsoft Office Word</Application>
  <DocSecurity>4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ivitale</cp:lastModifiedBy>
  <cp:revision>2</cp:revision>
  <cp:lastPrinted>2014-07-23T18:24:00Z</cp:lastPrinted>
  <dcterms:created xsi:type="dcterms:W3CDTF">2016-05-09T14:14:00Z</dcterms:created>
  <dcterms:modified xsi:type="dcterms:W3CDTF">2016-05-09T14:14:00Z</dcterms:modified>
</cp:coreProperties>
</file>